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0" w:rsidRDefault="00C76070">
      <w:pPr>
        <w:rPr>
          <w:lang w:val="en-US"/>
        </w:rPr>
      </w:pPr>
    </w:p>
    <w:p w:rsidR="00FF6AE0" w:rsidRDefault="00893FC0">
      <w:pPr>
        <w:rPr>
          <w:lang w:val="en-US"/>
        </w:rPr>
      </w:pPr>
      <w:r>
        <w:rPr>
          <w:lang w:val="en-US"/>
        </w:rPr>
        <w:t>De</w:t>
      </w:r>
      <w:r w:rsidR="00795B94">
        <w:rPr>
          <w:lang w:val="en-US"/>
        </w:rPr>
        <w:t>ar Members of the Working Group:</w:t>
      </w:r>
    </w:p>
    <w:p w:rsidR="00893FC0" w:rsidRDefault="00893FC0" w:rsidP="00893FC0">
      <w:pPr>
        <w:rPr>
          <w:lang w:val="en-US"/>
        </w:rPr>
      </w:pPr>
    </w:p>
    <w:p w:rsidR="00893FC0" w:rsidRDefault="00893FC0" w:rsidP="00E54D7E">
      <w:pPr>
        <w:rPr>
          <w:lang w:val="en-US"/>
        </w:rPr>
      </w:pPr>
      <w:r>
        <w:rPr>
          <w:lang w:val="en-US"/>
        </w:rPr>
        <w:t xml:space="preserve">We would like you again for participating in the </w:t>
      </w:r>
      <w:r w:rsidR="00E54D7E">
        <w:rPr>
          <w:lang w:val="en-US"/>
        </w:rPr>
        <w:t xml:space="preserve">second </w:t>
      </w:r>
      <w:r>
        <w:rPr>
          <w:lang w:val="en-US"/>
        </w:rPr>
        <w:t xml:space="preserve">meeting </w:t>
      </w:r>
      <w:r w:rsidR="00E54D7E">
        <w:rPr>
          <w:lang w:val="en-US"/>
        </w:rPr>
        <w:t xml:space="preserve">of the SOON Consensus Working Group on Fetal Growth </w:t>
      </w:r>
      <w:r>
        <w:rPr>
          <w:lang w:val="en-US"/>
        </w:rPr>
        <w:t xml:space="preserve">and contributing your time and experience to </w:t>
      </w:r>
      <w:r w:rsidR="00E54D7E">
        <w:rPr>
          <w:lang w:val="en-US"/>
        </w:rPr>
        <w:t>the</w:t>
      </w:r>
      <w:r>
        <w:rPr>
          <w:lang w:val="en-US"/>
        </w:rPr>
        <w:t xml:space="preserve"> standardization of fetal growth assessment in our obstetrical network.</w:t>
      </w:r>
    </w:p>
    <w:p w:rsidR="000424A6" w:rsidRDefault="000424A6">
      <w:pPr>
        <w:rPr>
          <w:lang w:val="en-US"/>
        </w:rPr>
      </w:pPr>
    </w:p>
    <w:p w:rsidR="00893FC0" w:rsidRDefault="00893FC0" w:rsidP="009704D6">
      <w:pPr>
        <w:rPr>
          <w:lang w:val="en-US"/>
        </w:rPr>
      </w:pPr>
      <w:r>
        <w:rPr>
          <w:lang w:val="en-US"/>
        </w:rPr>
        <w:t>A total of 2</w:t>
      </w:r>
      <w:r w:rsidR="00E54D7E">
        <w:rPr>
          <w:lang w:val="en-US"/>
        </w:rPr>
        <w:t>4</w:t>
      </w:r>
      <w:r>
        <w:rPr>
          <w:lang w:val="en-US"/>
        </w:rPr>
        <w:t xml:space="preserve"> individuals participated in the </w:t>
      </w:r>
      <w:r w:rsidRPr="00BB31D1">
        <w:rPr>
          <w:lang w:val="en-US"/>
        </w:rPr>
        <w:t xml:space="preserve">meeting: </w:t>
      </w:r>
      <w:r w:rsidR="00E54D7E" w:rsidRPr="00BB31D1">
        <w:rPr>
          <w:lang w:val="en-US"/>
        </w:rPr>
        <w:t>20</w:t>
      </w:r>
      <w:r w:rsidRPr="00BB31D1">
        <w:rPr>
          <w:lang w:val="en-US"/>
        </w:rPr>
        <w:t xml:space="preserve"> in person and </w:t>
      </w:r>
      <w:r w:rsidR="00E54D7E" w:rsidRPr="00BB31D1">
        <w:rPr>
          <w:lang w:val="en-US"/>
        </w:rPr>
        <w:t>4</w:t>
      </w:r>
      <w:r w:rsidRPr="00BB31D1">
        <w:rPr>
          <w:lang w:val="en-US"/>
        </w:rPr>
        <w:t xml:space="preserve"> via </w:t>
      </w:r>
      <w:r w:rsidR="00E54D7E" w:rsidRPr="00BB31D1">
        <w:rPr>
          <w:lang w:val="en-US"/>
        </w:rPr>
        <w:t>video</w:t>
      </w:r>
      <w:r w:rsidR="00E54D7E">
        <w:rPr>
          <w:lang w:val="en-US"/>
        </w:rPr>
        <w:t>-</w:t>
      </w:r>
      <w:r>
        <w:rPr>
          <w:lang w:val="en-US"/>
        </w:rPr>
        <w:t>conference. The list of participants appears below (</w:t>
      </w:r>
      <w:r w:rsidRPr="00AE292D">
        <w:rPr>
          <w:b/>
          <w:bCs/>
          <w:i/>
          <w:iCs/>
          <w:color w:val="C00000"/>
          <w:lang w:val="en-US"/>
        </w:rPr>
        <w:t>Table 1</w:t>
      </w:r>
      <w:r>
        <w:rPr>
          <w:lang w:val="en-US"/>
        </w:rPr>
        <w:t>).</w:t>
      </w:r>
    </w:p>
    <w:p w:rsidR="00893FC0" w:rsidRDefault="00893FC0">
      <w:pPr>
        <w:rPr>
          <w:lang w:val="en-US"/>
        </w:rPr>
      </w:pPr>
    </w:p>
    <w:p w:rsidR="00C35992" w:rsidRDefault="00C35992" w:rsidP="00C35992">
      <w:pPr>
        <w:rPr>
          <w:b/>
          <w:bCs/>
          <w:sz w:val="36"/>
          <w:szCs w:val="36"/>
          <w:u w:val="single"/>
          <w:lang w:val="en-US"/>
        </w:rPr>
      </w:pPr>
    </w:p>
    <w:p w:rsidR="00AE292D" w:rsidRPr="00C35992" w:rsidRDefault="00C35992" w:rsidP="00C35992">
      <w:pPr>
        <w:rPr>
          <w:b/>
          <w:bCs/>
          <w:sz w:val="32"/>
          <w:szCs w:val="32"/>
          <w:u w:val="single"/>
          <w:lang w:val="en-US"/>
        </w:rPr>
      </w:pPr>
      <w:r w:rsidRPr="00C35992">
        <w:rPr>
          <w:b/>
          <w:bCs/>
          <w:sz w:val="32"/>
          <w:szCs w:val="32"/>
          <w:u w:val="single"/>
          <w:lang w:val="en-US"/>
        </w:rPr>
        <w:t>A. MEETING MINUTES</w:t>
      </w:r>
    </w:p>
    <w:p w:rsidR="00C35992" w:rsidRDefault="00C35992" w:rsidP="00C35992">
      <w:pPr>
        <w:rPr>
          <w:lang w:val="en-US"/>
        </w:rPr>
      </w:pPr>
    </w:p>
    <w:p w:rsidR="00C76070" w:rsidRDefault="00AE292D" w:rsidP="00AE292D">
      <w:pPr>
        <w:rPr>
          <w:lang w:val="en-US"/>
        </w:rPr>
      </w:pPr>
      <w:r>
        <w:rPr>
          <w:lang w:val="en-US"/>
        </w:rPr>
        <w:t xml:space="preserve">1. </w:t>
      </w:r>
      <w:r w:rsidRPr="0011535A">
        <w:rPr>
          <w:b/>
          <w:bCs/>
          <w:lang w:val="en-US"/>
        </w:rPr>
        <w:t xml:space="preserve">General Introduction / </w:t>
      </w:r>
      <w:r w:rsidR="00C76070" w:rsidRPr="0011535A">
        <w:rPr>
          <w:b/>
          <w:bCs/>
          <w:lang w:val="en-US"/>
        </w:rPr>
        <w:t>Jon Barrett</w:t>
      </w:r>
      <w:r w:rsidR="00B2678D">
        <w:rPr>
          <w:b/>
          <w:bCs/>
          <w:lang w:val="en-US"/>
        </w:rPr>
        <w:br/>
      </w:r>
    </w:p>
    <w:p w:rsidR="00C76070" w:rsidRDefault="00AE292D" w:rsidP="00D13AC9">
      <w:pPr>
        <w:rPr>
          <w:lang w:val="en-US"/>
        </w:rPr>
      </w:pPr>
      <w:r>
        <w:rPr>
          <w:lang w:val="en-US"/>
        </w:rPr>
        <w:t xml:space="preserve">2. </w:t>
      </w:r>
      <w:r w:rsidR="00C76070" w:rsidRPr="0011535A">
        <w:rPr>
          <w:b/>
          <w:bCs/>
          <w:lang w:val="en-US"/>
        </w:rPr>
        <w:t xml:space="preserve">Purpose of meeting </w:t>
      </w:r>
      <w:r w:rsidRPr="0011535A">
        <w:rPr>
          <w:b/>
          <w:bCs/>
          <w:lang w:val="en-US"/>
        </w:rPr>
        <w:t>/</w:t>
      </w:r>
      <w:r w:rsidR="00C76070" w:rsidRPr="0011535A">
        <w:rPr>
          <w:b/>
          <w:bCs/>
          <w:lang w:val="en-US"/>
        </w:rPr>
        <w:t xml:space="preserve"> </w:t>
      </w:r>
      <w:proofErr w:type="spellStart"/>
      <w:r w:rsidR="00C76070" w:rsidRPr="0011535A">
        <w:rPr>
          <w:b/>
          <w:bCs/>
          <w:lang w:val="en-US"/>
        </w:rPr>
        <w:t>Nir</w:t>
      </w:r>
      <w:proofErr w:type="spellEnd"/>
      <w:r w:rsidR="000424A6" w:rsidRPr="0011535A">
        <w:rPr>
          <w:b/>
          <w:bCs/>
          <w:lang w:val="en-US"/>
        </w:rPr>
        <w:t xml:space="preserve"> </w:t>
      </w:r>
      <w:proofErr w:type="spellStart"/>
      <w:r w:rsidR="000424A6" w:rsidRPr="0011535A">
        <w:rPr>
          <w:b/>
          <w:bCs/>
          <w:lang w:val="en-US"/>
        </w:rPr>
        <w:t>Melamed</w:t>
      </w:r>
      <w:proofErr w:type="spellEnd"/>
      <w:r>
        <w:rPr>
          <w:lang w:val="en-US"/>
        </w:rPr>
        <w:t xml:space="preserve"> (See attached presentation </w:t>
      </w:r>
      <w:r w:rsidRPr="00D13AC9">
        <w:rPr>
          <w:lang w:val="en-US"/>
        </w:rPr>
        <w:t>[</w:t>
      </w:r>
      <w:proofErr w:type="spellStart"/>
      <w:r w:rsidRPr="00AE292D">
        <w:rPr>
          <w:b/>
          <w:bCs/>
          <w:i/>
          <w:iCs/>
          <w:color w:val="C00000"/>
          <w:lang w:val="en-US"/>
        </w:rPr>
        <w:t>Melamed</w:t>
      </w:r>
      <w:proofErr w:type="spellEnd"/>
      <w:r w:rsidRPr="00AE292D">
        <w:rPr>
          <w:b/>
          <w:bCs/>
          <w:i/>
          <w:iCs/>
          <w:color w:val="C00000"/>
          <w:lang w:val="en-US"/>
        </w:rPr>
        <w:t xml:space="preserve"> </w:t>
      </w:r>
      <w:r w:rsidR="00D13AC9">
        <w:rPr>
          <w:b/>
          <w:bCs/>
          <w:i/>
          <w:iCs/>
          <w:color w:val="C00000"/>
          <w:lang w:val="en-US"/>
        </w:rPr>
        <w:t>- Introduction</w:t>
      </w:r>
      <w:r w:rsidRPr="00AE292D">
        <w:rPr>
          <w:b/>
          <w:bCs/>
          <w:i/>
          <w:iCs/>
          <w:color w:val="C00000"/>
          <w:lang w:val="en-US"/>
        </w:rPr>
        <w:t>]</w:t>
      </w:r>
      <w:r>
        <w:rPr>
          <w:lang w:val="en-US"/>
        </w:rPr>
        <w:t>)</w:t>
      </w:r>
    </w:p>
    <w:p w:rsidR="00AE292D" w:rsidRDefault="00AE292D" w:rsidP="00AE292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Rationale and importance of standardization of fetal growth assessment</w:t>
      </w:r>
    </w:p>
    <w:p w:rsidR="00795B94" w:rsidRDefault="00795B94" w:rsidP="00AE292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Summary of consensus recommendations from the 1</w:t>
      </w:r>
      <w:r w:rsidRPr="00795B94">
        <w:rPr>
          <w:vertAlign w:val="superscript"/>
          <w:lang w:val="en-US"/>
        </w:rPr>
        <w:t>st</w:t>
      </w:r>
      <w:r>
        <w:rPr>
          <w:lang w:val="en-US"/>
        </w:rPr>
        <w:t xml:space="preserve"> meeting</w:t>
      </w:r>
    </w:p>
    <w:p w:rsidR="00AE292D" w:rsidRDefault="00AE292D" w:rsidP="00AE292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Variation in growth assessment in SOON (</w:t>
      </w:r>
      <w:r w:rsidRPr="00AE292D">
        <w:rPr>
          <w:b/>
          <w:bCs/>
          <w:i/>
          <w:iCs/>
          <w:color w:val="C00000"/>
          <w:lang w:val="en-US"/>
        </w:rPr>
        <w:t>Table</w:t>
      </w:r>
      <w:r w:rsidR="00795B94">
        <w:rPr>
          <w:b/>
          <w:bCs/>
          <w:i/>
          <w:iCs/>
          <w:color w:val="C00000"/>
          <w:lang w:val="en-US"/>
        </w:rPr>
        <w:t>s</w:t>
      </w:r>
      <w:r w:rsidRPr="00AE292D">
        <w:rPr>
          <w:b/>
          <w:bCs/>
          <w:i/>
          <w:iCs/>
          <w:color w:val="C00000"/>
          <w:lang w:val="en-US"/>
        </w:rPr>
        <w:t xml:space="preserve"> 2</w:t>
      </w:r>
      <w:r w:rsidR="00795B94">
        <w:rPr>
          <w:b/>
          <w:bCs/>
          <w:i/>
          <w:iCs/>
          <w:color w:val="C00000"/>
          <w:lang w:val="en-US"/>
        </w:rPr>
        <w:t>.1, 2.2, 2.3, and 2.4</w:t>
      </w:r>
      <w:r>
        <w:rPr>
          <w:lang w:val="en-US"/>
        </w:rPr>
        <w:t xml:space="preserve"> below)</w:t>
      </w:r>
    </w:p>
    <w:p w:rsidR="00B2678D" w:rsidRDefault="0011535A" w:rsidP="0011535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Strategy for achieving consensus</w:t>
      </w:r>
    </w:p>
    <w:p w:rsidR="0011535A" w:rsidRDefault="00B2678D" w:rsidP="009704D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Strategies for knowledge translation</w:t>
      </w:r>
      <w:r w:rsidR="009704D6">
        <w:rPr>
          <w:lang w:val="en-US"/>
        </w:rPr>
        <w:t xml:space="preserve"> </w:t>
      </w:r>
      <w:r>
        <w:rPr>
          <w:lang w:val="en-US"/>
        </w:rPr>
        <w:br/>
      </w:r>
    </w:p>
    <w:p w:rsidR="0011535A" w:rsidRDefault="0011535A" w:rsidP="009704D6">
      <w:pPr>
        <w:rPr>
          <w:lang w:val="en-US"/>
        </w:rPr>
      </w:pPr>
      <w:r>
        <w:rPr>
          <w:lang w:val="en-US"/>
        </w:rPr>
        <w:t xml:space="preserve">3. </w:t>
      </w:r>
      <w:r w:rsidR="009704D6">
        <w:rPr>
          <w:b/>
          <w:bCs/>
          <w:lang w:val="en-US"/>
        </w:rPr>
        <w:t>Review of dating and percenti</w:t>
      </w:r>
      <w:r w:rsidRPr="00103814">
        <w:rPr>
          <w:b/>
          <w:bCs/>
          <w:lang w:val="en-US"/>
        </w:rPr>
        <w:t>l</w:t>
      </w:r>
      <w:r w:rsidR="009704D6">
        <w:rPr>
          <w:b/>
          <w:bCs/>
          <w:lang w:val="en-US"/>
        </w:rPr>
        <w:t>e charts, and their performance in our local population</w:t>
      </w:r>
      <w:r w:rsidRPr="00103814">
        <w:rPr>
          <w:b/>
          <w:bCs/>
          <w:lang w:val="en-US"/>
        </w:rPr>
        <w:t xml:space="preserve"> / </w:t>
      </w:r>
      <w:proofErr w:type="spellStart"/>
      <w:r w:rsidR="009704D6">
        <w:rPr>
          <w:b/>
          <w:bCs/>
          <w:lang w:val="en-US"/>
        </w:rPr>
        <w:t>Nir</w:t>
      </w:r>
      <w:proofErr w:type="spellEnd"/>
      <w:r w:rsidR="009704D6">
        <w:rPr>
          <w:b/>
          <w:bCs/>
          <w:lang w:val="en-US"/>
        </w:rPr>
        <w:t xml:space="preserve"> </w:t>
      </w:r>
      <w:proofErr w:type="spellStart"/>
      <w:r w:rsidR="009704D6">
        <w:rPr>
          <w:b/>
          <w:bCs/>
          <w:lang w:val="en-US"/>
        </w:rPr>
        <w:t>Melamed</w:t>
      </w:r>
      <w:proofErr w:type="spellEnd"/>
      <w:r w:rsidR="009704D6">
        <w:rPr>
          <w:b/>
          <w:bCs/>
          <w:lang w:val="en-US"/>
        </w:rPr>
        <w:t xml:space="preserve"> and </w:t>
      </w:r>
      <w:proofErr w:type="spellStart"/>
      <w:r w:rsidR="009704D6">
        <w:rPr>
          <w:b/>
          <w:bCs/>
          <w:lang w:val="en-US"/>
        </w:rPr>
        <w:t>Vasi</w:t>
      </w:r>
      <w:proofErr w:type="spellEnd"/>
      <w:r w:rsidR="009704D6">
        <w:rPr>
          <w:b/>
          <w:bCs/>
          <w:lang w:val="en-US"/>
        </w:rPr>
        <w:t xml:space="preserve"> </w:t>
      </w:r>
      <w:proofErr w:type="spellStart"/>
      <w:proofErr w:type="gramStart"/>
      <w:r w:rsidR="009704D6" w:rsidRPr="009704D6">
        <w:rPr>
          <w:b/>
          <w:bCs/>
          <w:lang w:val="en-US"/>
        </w:rPr>
        <w:t>Stratulat</w:t>
      </w:r>
      <w:proofErr w:type="spellEnd"/>
      <w:r>
        <w:rPr>
          <w:lang w:val="en-US"/>
        </w:rPr>
        <w:t xml:space="preserve"> </w:t>
      </w:r>
      <w:r w:rsidR="00D13AC9">
        <w:rPr>
          <w:lang w:val="en-US"/>
        </w:rPr>
        <w:t xml:space="preserve"> (</w:t>
      </w:r>
      <w:proofErr w:type="gramEnd"/>
      <w:r w:rsidR="00D13AC9">
        <w:rPr>
          <w:lang w:val="en-US"/>
        </w:rPr>
        <w:t>See attached presentation [</w:t>
      </w:r>
      <w:proofErr w:type="spellStart"/>
      <w:r w:rsidR="009704D6" w:rsidRPr="009704D6">
        <w:rPr>
          <w:b/>
          <w:bCs/>
          <w:i/>
          <w:iCs/>
          <w:color w:val="C00000"/>
          <w:lang w:val="en-US"/>
        </w:rPr>
        <w:t>Melamed</w:t>
      </w:r>
      <w:proofErr w:type="spellEnd"/>
      <w:r w:rsidR="009704D6" w:rsidRPr="009704D6">
        <w:rPr>
          <w:b/>
          <w:bCs/>
          <w:i/>
          <w:iCs/>
          <w:color w:val="C00000"/>
          <w:lang w:val="en-US"/>
        </w:rPr>
        <w:t>-</w:t>
      </w:r>
      <w:proofErr w:type="spellStart"/>
      <w:r w:rsidR="009704D6" w:rsidRPr="009704D6">
        <w:rPr>
          <w:b/>
          <w:bCs/>
          <w:i/>
          <w:iCs/>
          <w:color w:val="C00000"/>
          <w:lang w:val="en-US"/>
        </w:rPr>
        <w:t>Stratulat</w:t>
      </w:r>
      <w:proofErr w:type="spellEnd"/>
      <w:r w:rsidR="009704D6" w:rsidRPr="009704D6">
        <w:rPr>
          <w:b/>
          <w:bCs/>
          <w:i/>
          <w:iCs/>
          <w:color w:val="C00000"/>
          <w:lang w:val="en-US"/>
        </w:rPr>
        <w:t>-Review of Charts</w:t>
      </w:r>
      <w:r w:rsidR="00D13AC9">
        <w:rPr>
          <w:lang w:val="en-US"/>
        </w:rPr>
        <w:t>])</w:t>
      </w:r>
    </w:p>
    <w:p w:rsidR="009704D6" w:rsidRPr="00044C44" w:rsidRDefault="00950A50" w:rsidP="00103814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3.1) </w:t>
      </w:r>
      <w:r w:rsidR="009704D6" w:rsidRPr="00044C44">
        <w:rPr>
          <w:u w:val="single"/>
          <w:lang w:val="en-US"/>
        </w:rPr>
        <w:t>1</w:t>
      </w:r>
      <w:r w:rsidR="009704D6" w:rsidRPr="00044C44">
        <w:rPr>
          <w:u w:val="single"/>
          <w:vertAlign w:val="superscript"/>
          <w:lang w:val="en-US"/>
        </w:rPr>
        <w:t>st</w:t>
      </w:r>
      <w:r w:rsidR="009704D6" w:rsidRPr="00044C44">
        <w:rPr>
          <w:u w:val="single"/>
          <w:lang w:val="en-US"/>
        </w:rPr>
        <w:t xml:space="preserve"> trimester dating</w:t>
      </w:r>
    </w:p>
    <w:p w:rsidR="009704D6" w:rsidRDefault="00103814" w:rsidP="009704D6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Reviewed </w:t>
      </w:r>
      <w:r w:rsidR="009704D6">
        <w:rPr>
          <w:lang w:val="en-US"/>
        </w:rPr>
        <w:t>available charts</w:t>
      </w:r>
    </w:p>
    <w:p w:rsidR="00B2678D" w:rsidRDefault="009704D6" w:rsidP="00B2678D">
      <w:pPr>
        <w:pStyle w:val="ListParagraph"/>
        <w:numPr>
          <w:ilvl w:val="1"/>
          <w:numId w:val="4"/>
        </w:numPr>
        <w:rPr>
          <w:lang w:val="en-US"/>
        </w:rPr>
      </w:pPr>
      <w:r w:rsidRPr="009704D6">
        <w:rPr>
          <w:lang w:val="en-US"/>
        </w:rPr>
        <w:t xml:space="preserve">Performance of the various charts </w:t>
      </w:r>
      <w:r w:rsidR="00044C44">
        <w:rPr>
          <w:lang w:val="en-US"/>
        </w:rPr>
        <w:t xml:space="preserve">was compared </w:t>
      </w:r>
      <w:r w:rsidRPr="009704D6">
        <w:rPr>
          <w:lang w:val="en-US"/>
        </w:rPr>
        <w:t xml:space="preserve">using data from 1,136 NT scans in low-risk women </w:t>
      </w:r>
    </w:p>
    <w:p w:rsidR="009704D6" w:rsidRDefault="009704D6" w:rsidP="00044C4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For CRL – the chart of </w:t>
      </w:r>
      <w:proofErr w:type="spellStart"/>
      <w:r w:rsidRPr="00044C44">
        <w:rPr>
          <w:b/>
          <w:bCs/>
          <w:lang w:val="en-US"/>
        </w:rPr>
        <w:t>Daya</w:t>
      </w:r>
      <w:proofErr w:type="spellEnd"/>
      <w:r w:rsidRPr="00044C44">
        <w:rPr>
          <w:b/>
          <w:bCs/>
          <w:lang w:val="en-US"/>
        </w:rPr>
        <w:t xml:space="preserve"> 93’</w:t>
      </w:r>
      <w:r>
        <w:rPr>
          <w:lang w:val="en-US"/>
        </w:rPr>
        <w:t xml:space="preserve"> performed best</w:t>
      </w:r>
    </w:p>
    <w:p w:rsidR="009704D6" w:rsidRPr="009704D6" w:rsidRDefault="009704D6" w:rsidP="00B2678D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For BPD – the chart of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82’</w:t>
      </w:r>
      <w:r>
        <w:rPr>
          <w:lang w:val="en-US"/>
        </w:rPr>
        <w:t xml:space="preserve"> performed best (while the chart of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84’ </w:t>
      </w:r>
      <w:r>
        <w:rPr>
          <w:lang w:val="en-US"/>
        </w:rPr>
        <w:t xml:space="preserve">was associated with a systematic over-estimation </w:t>
      </w:r>
      <w:r w:rsidR="00044C44">
        <w:rPr>
          <w:lang w:val="en-US"/>
        </w:rPr>
        <w:t>of gestational age by 7 days)</w:t>
      </w:r>
    </w:p>
    <w:p w:rsidR="00103814" w:rsidRPr="00B2678D" w:rsidRDefault="00103814" w:rsidP="00044C44">
      <w:pPr>
        <w:pStyle w:val="ListParagraph"/>
        <w:numPr>
          <w:ilvl w:val="1"/>
          <w:numId w:val="4"/>
        </w:numPr>
        <w:rPr>
          <w:b/>
          <w:bCs/>
          <w:color w:val="00B050"/>
          <w:lang w:val="en-US"/>
        </w:rPr>
      </w:pPr>
      <w:r w:rsidRPr="00B2678D">
        <w:rPr>
          <w:b/>
          <w:bCs/>
          <w:color w:val="00B050"/>
          <w:lang w:val="en-US"/>
        </w:rPr>
        <w:t xml:space="preserve">A consensus decision was made to adapt the </w:t>
      </w:r>
      <w:proofErr w:type="spellStart"/>
      <w:r w:rsidR="00044C44">
        <w:rPr>
          <w:b/>
          <w:bCs/>
          <w:color w:val="00B050"/>
          <w:lang w:val="en-US"/>
        </w:rPr>
        <w:t>Daya</w:t>
      </w:r>
      <w:proofErr w:type="spellEnd"/>
      <w:r w:rsidR="00044C44">
        <w:rPr>
          <w:b/>
          <w:bCs/>
          <w:color w:val="00B050"/>
          <w:lang w:val="en-US"/>
        </w:rPr>
        <w:t xml:space="preserve"> 93’ chart for CRL and the </w:t>
      </w:r>
      <w:proofErr w:type="spellStart"/>
      <w:r w:rsidR="00044C44">
        <w:rPr>
          <w:b/>
          <w:bCs/>
          <w:color w:val="00B050"/>
          <w:lang w:val="en-US"/>
        </w:rPr>
        <w:t>Hadlock</w:t>
      </w:r>
      <w:proofErr w:type="spellEnd"/>
      <w:r w:rsidR="00044C44">
        <w:rPr>
          <w:b/>
          <w:bCs/>
          <w:color w:val="00B050"/>
          <w:lang w:val="en-US"/>
        </w:rPr>
        <w:t xml:space="preserve"> 82’ chart for dating using BPD during the 1</w:t>
      </w:r>
      <w:r w:rsidR="00044C44" w:rsidRPr="00044C44">
        <w:rPr>
          <w:b/>
          <w:bCs/>
          <w:color w:val="00B050"/>
          <w:vertAlign w:val="superscript"/>
          <w:lang w:val="en-US"/>
        </w:rPr>
        <w:t>st</w:t>
      </w:r>
      <w:r w:rsidR="00044C44">
        <w:rPr>
          <w:b/>
          <w:bCs/>
          <w:color w:val="00B050"/>
          <w:lang w:val="en-US"/>
        </w:rPr>
        <w:t xml:space="preserve"> trimester</w:t>
      </w:r>
      <w:r w:rsidRPr="00B2678D">
        <w:rPr>
          <w:b/>
          <w:bCs/>
          <w:color w:val="00B050"/>
          <w:lang w:val="en-US"/>
        </w:rPr>
        <w:t xml:space="preserve"> (see summary below)</w:t>
      </w:r>
    </w:p>
    <w:p w:rsidR="00044C44" w:rsidRPr="00044C44" w:rsidRDefault="00950A50" w:rsidP="00103814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3.2) </w:t>
      </w:r>
      <w:r w:rsidR="00044C44" w:rsidRPr="00044C44">
        <w:rPr>
          <w:u w:val="single"/>
          <w:lang w:val="en-US"/>
        </w:rPr>
        <w:t>2</w:t>
      </w:r>
      <w:r w:rsidR="00044C44" w:rsidRPr="00044C44">
        <w:rPr>
          <w:u w:val="single"/>
          <w:vertAlign w:val="superscript"/>
          <w:lang w:val="en-US"/>
        </w:rPr>
        <w:t>nd</w:t>
      </w:r>
      <w:r w:rsidR="00044C44" w:rsidRPr="00044C44">
        <w:rPr>
          <w:u w:val="single"/>
          <w:lang w:val="en-US"/>
        </w:rPr>
        <w:t xml:space="preserve"> and 3</w:t>
      </w:r>
      <w:r w:rsidR="00044C44" w:rsidRPr="00044C44">
        <w:rPr>
          <w:u w:val="single"/>
          <w:vertAlign w:val="superscript"/>
          <w:lang w:val="en-US"/>
        </w:rPr>
        <w:t>rd</w:t>
      </w:r>
      <w:r w:rsidR="00044C44" w:rsidRPr="00044C44">
        <w:rPr>
          <w:u w:val="single"/>
          <w:lang w:val="en-US"/>
        </w:rPr>
        <w:t xml:space="preserve"> trimester dating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Reviewed available charts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 w:rsidRPr="009704D6">
        <w:rPr>
          <w:lang w:val="en-US"/>
        </w:rPr>
        <w:t xml:space="preserve">Performance of the various charts </w:t>
      </w:r>
      <w:r>
        <w:rPr>
          <w:lang w:val="en-US"/>
        </w:rPr>
        <w:t xml:space="preserve">was compared </w:t>
      </w:r>
      <w:r w:rsidRPr="009704D6">
        <w:rPr>
          <w:lang w:val="en-US"/>
        </w:rPr>
        <w:t>using data from 1,</w:t>
      </w:r>
      <w:r>
        <w:rPr>
          <w:lang w:val="en-US"/>
        </w:rPr>
        <w:t>984</w:t>
      </w:r>
      <w:r w:rsidRPr="009704D6">
        <w:rPr>
          <w:lang w:val="en-US"/>
        </w:rPr>
        <w:t xml:space="preserve"> scans in low-risk women </w:t>
      </w:r>
      <w:r>
        <w:rPr>
          <w:lang w:val="en-US"/>
        </w:rPr>
        <w:t>from Sunnybrook and MSH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The following charts were found to perform best for dating during the 2</w:t>
      </w:r>
      <w:r w:rsidRPr="00044C44">
        <w:rPr>
          <w:vertAlign w:val="superscript"/>
          <w:lang w:val="en-US"/>
        </w:rPr>
        <w:t>nd</w:t>
      </w:r>
      <w:r>
        <w:rPr>
          <w:lang w:val="en-US"/>
        </w:rPr>
        <w:t xml:space="preserve"> and 3</w:t>
      </w:r>
      <w:r w:rsidRPr="00044C44">
        <w:rPr>
          <w:vertAlign w:val="superscript"/>
          <w:lang w:val="en-US"/>
        </w:rPr>
        <w:t>rd</w:t>
      </w:r>
      <w:r>
        <w:rPr>
          <w:lang w:val="en-US"/>
        </w:rPr>
        <w:t xml:space="preserve"> trimester:</w:t>
      </w:r>
    </w:p>
    <w:p w:rsidR="00044C44" w:rsidRDefault="00044C44" w:rsidP="00044C44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BPD: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82’</w:t>
      </w:r>
    </w:p>
    <w:p w:rsidR="00044C44" w:rsidRPr="00044C44" w:rsidRDefault="00044C44" w:rsidP="00044C44">
      <w:pPr>
        <w:pStyle w:val="ListParagraph"/>
        <w:numPr>
          <w:ilvl w:val="2"/>
          <w:numId w:val="4"/>
        </w:numPr>
        <w:rPr>
          <w:b/>
          <w:bCs/>
          <w:lang w:val="en-US"/>
        </w:rPr>
      </w:pPr>
      <w:r>
        <w:rPr>
          <w:lang w:val="en-US"/>
        </w:rPr>
        <w:lastRenderedPageBreak/>
        <w:t xml:space="preserve">HC: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84’</w:t>
      </w:r>
    </w:p>
    <w:p w:rsidR="00044C44" w:rsidRDefault="00044C44" w:rsidP="00044C44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AC: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82’</w:t>
      </w:r>
    </w:p>
    <w:p w:rsidR="00044C44" w:rsidRPr="00044C44" w:rsidRDefault="00044C44" w:rsidP="00044C44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FL: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84’</w:t>
      </w:r>
    </w:p>
    <w:p w:rsidR="00044C44" w:rsidRPr="00B2678D" w:rsidRDefault="00044C44" w:rsidP="00044C44">
      <w:pPr>
        <w:pStyle w:val="ListParagraph"/>
        <w:numPr>
          <w:ilvl w:val="1"/>
          <w:numId w:val="4"/>
        </w:numPr>
        <w:rPr>
          <w:b/>
          <w:bCs/>
          <w:color w:val="00B050"/>
          <w:lang w:val="en-US"/>
        </w:rPr>
      </w:pPr>
      <w:r w:rsidRPr="00B2678D">
        <w:rPr>
          <w:b/>
          <w:bCs/>
          <w:color w:val="00B050"/>
          <w:lang w:val="en-US"/>
        </w:rPr>
        <w:t xml:space="preserve">A consensus decision was made to </w:t>
      </w:r>
      <w:r>
        <w:rPr>
          <w:b/>
          <w:bCs/>
          <w:color w:val="00B050"/>
          <w:lang w:val="en-US"/>
        </w:rPr>
        <w:t>the charts described above for dating during the 2</w:t>
      </w:r>
      <w:r w:rsidRPr="00044C44">
        <w:rPr>
          <w:b/>
          <w:bCs/>
          <w:color w:val="00B050"/>
          <w:vertAlign w:val="superscript"/>
          <w:lang w:val="en-US"/>
        </w:rPr>
        <w:t>nd</w:t>
      </w:r>
      <w:r>
        <w:rPr>
          <w:b/>
          <w:bCs/>
          <w:color w:val="00B050"/>
          <w:lang w:val="en-US"/>
        </w:rPr>
        <w:t xml:space="preserve"> and 3</w:t>
      </w:r>
      <w:r w:rsidRPr="00044C44">
        <w:rPr>
          <w:b/>
          <w:bCs/>
          <w:color w:val="00B050"/>
          <w:vertAlign w:val="superscript"/>
          <w:lang w:val="en-US"/>
        </w:rPr>
        <w:t>rd</w:t>
      </w:r>
      <w:r>
        <w:rPr>
          <w:b/>
          <w:bCs/>
          <w:color w:val="00B050"/>
          <w:lang w:val="en-US"/>
        </w:rPr>
        <w:t xml:space="preserve"> trimester</w:t>
      </w:r>
      <w:r w:rsidRPr="00B2678D">
        <w:rPr>
          <w:b/>
          <w:bCs/>
          <w:color w:val="00B050"/>
          <w:lang w:val="en-US"/>
        </w:rPr>
        <w:t xml:space="preserve"> (see summary below)</w:t>
      </w:r>
    </w:p>
    <w:p w:rsidR="00044C44" w:rsidRPr="00044C44" w:rsidRDefault="00950A50" w:rsidP="00103814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3.3) </w:t>
      </w:r>
      <w:r w:rsidR="00044C44" w:rsidRPr="00044C44">
        <w:rPr>
          <w:u w:val="single"/>
          <w:lang w:val="en-US"/>
        </w:rPr>
        <w:t>Charts for Growth Percentiles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Reviewed available charts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 w:rsidRPr="009704D6">
        <w:rPr>
          <w:lang w:val="en-US"/>
        </w:rPr>
        <w:t xml:space="preserve">Performance of the various charts </w:t>
      </w:r>
      <w:r>
        <w:rPr>
          <w:lang w:val="en-US"/>
        </w:rPr>
        <w:t xml:space="preserve">was compared </w:t>
      </w:r>
      <w:r w:rsidRPr="009704D6">
        <w:rPr>
          <w:lang w:val="en-US"/>
        </w:rPr>
        <w:t>using data from 1,</w:t>
      </w:r>
      <w:r>
        <w:rPr>
          <w:lang w:val="en-US"/>
        </w:rPr>
        <w:t>984</w:t>
      </w:r>
      <w:r w:rsidRPr="009704D6">
        <w:rPr>
          <w:lang w:val="en-US"/>
        </w:rPr>
        <w:t xml:space="preserve"> scans in low-risk women </w:t>
      </w:r>
      <w:r>
        <w:rPr>
          <w:lang w:val="en-US"/>
        </w:rPr>
        <w:t>from Sunnybrook and MSH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The following charts were found to perform best for determining percentiles of fetal biometry:</w:t>
      </w:r>
    </w:p>
    <w:p w:rsidR="00044C44" w:rsidRDefault="00044C44" w:rsidP="00044C44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BPD: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82’</w:t>
      </w:r>
    </w:p>
    <w:p w:rsidR="00044C44" w:rsidRPr="00044C44" w:rsidRDefault="00044C44" w:rsidP="00044C44">
      <w:pPr>
        <w:pStyle w:val="ListParagraph"/>
        <w:numPr>
          <w:ilvl w:val="2"/>
          <w:numId w:val="4"/>
        </w:numPr>
        <w:rPr>
          <w:b/>
          <w:bCs/>
          <w:lang w:val="en-US"/>
        </w:rPr>
      </w:pPr>
      <w:r>
        <w:rPr>
          <w:lang w:val="en-US"/>
        </w:rPr>
        <w:t xml:space="preserve">HC: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84’</w:t>
      </w:r>
    </w:p>
    <w:p w:rsidR="00044C44" w:rsidRDefault="00044C44" w:rsidP="00044C44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AC: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82’</w:t>
      </w:r>
    </w:p>
    <w:p w:rsidR="00044C44" w:rsidRPr="00044C44" w:rsidRDefault="00044C44" w:rsidP="00044C44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 xml:space="preserve">FL: </w:t>
      </w:r>
      <w:proofErr w:type="spellStart"/>
      <w:r w:rsidRPr="00044C44">
        <w:rPr>
          <w:b/>
          <w:bCs/>
          <w:lang w:val="en-US"/>
        </w:rPr>
        <w:t>Hadlock</w:t>
      </w:r>
      <w:proofErr w:type="spellEnd"/>
      <w:r w:rsidRPr="00044C44">
        <w:rPr>
          <w:b/>
          <w:bCs/>
          <w:lang w:val="en-US"/>
        </w:rPr>
        <w:t xml:space="preserve"> 84’</w:t>
      </w:r>
    </w:p>
    <w:p w:rsidR="00044C44" w:rsidRPr="00B2678D" w:rsidRDefault="00044C44" w:rsidP="00044C44">
      <w:pPr>
        <w:pStyle w:val="ListParagraph"/>
        <w:numPr>
          <w:ilvl w:val="1"/>
          <w:numId w:val="4"/>
        </w:numPr>
        <w:rPr>
          <w:b/>
          <w:bCs/>
          <w:color w:val="00B050"/>
          <w:lang w:val="en-US"/>
        </w:rPr>
      </w:pPr>
      <w:r w:rsidRPr="00B2678D">
        <w:rPr>
          <w:b/>
          <w:bCs/>
          <w:color w:val="00B050"/>
          <w:lang w:val="en-US"/>
        </w:rPr>
        <w:t xml:space="preserve">A consensus decision was made to </w:t>
      </w:r>
      <w:r>
        <w:rPr>
          <w:b/>
          <w:bCs/>
          <w:color w:val="00B050"/>
          <w:lang w:val="en-US"/>
        </w:rPr>
        <w:t>the charts described above for dating during the 2</w:t>
      </w:r>
      <w:r w:rsidRPr="00044C44">
        <w:rPr>
          <w:b/>
          <w:bCs/>
          <w:color w:val="00B050"/>
          <w:vertAlign w:val="superscript"/>
          <w:lang w:val="en-US"/>
        </w:rPr>
        <w:t>nd</w:t>
      </w:r>
      <w:r>
        <w:rPr>
          <w:b/>
          <w:bCs/>
          <w:color w:val="00B050"/>
          <w:lang w:val="en-US"/>
        </w:rPr>
        <w:t xml:space="preserve"> and 3</w:t>
      </w:r>
      <w:r w:rsidRPr="00044C44">
        <w:rPr>
          <w:b/>
          <w:bCs/>
          <w:color w:val="00B050"/>
          <w:vertAlign w:val="superscript"/>
          <w:lang w:val="en-US"/>
        </w:rPr>
        <w:t>rd</w:t>
      </w:r>
      <w:r>
        <w:rPr>
          <w:b/>
          <w:bCs/>
          <w:color w:val="00B050"/>
          <w:lang w:val="en-US"/>
        </w:rPr>
        <w:t xml:space="preserve"> trimester</w:t>
      </w:r>
      <w:r w:rsidRPr="00B2678D">
        <w:rPr>
          <w:b/>
          <w:bCs/>
          <w:color w:val="00B050"/>
          <w:lang w:val="en-US"/>
        </w:rPr>
        <w:t xml:space="preserve"> (see summary below)</w:t>
      </w:r>
    </w:p>
    <w:p w:rsidR="00044C44" w:rsidRPr="00044C44" w:rsidRDefault="00950A50" w:rsidP="00044C44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3.4) </w:t>
      </w:r>
      <w:r w:rsidR="00044C44" w:rsidRPr="00044C44">
        <w:rPr>
          <w:u w:val="single"/>
          <w:lang w:val="en-US"/>
        </w:rPr>
        <w:t>How to determine Average Ultrasound Age (AUA)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 w:rsidRPr="009704D6">
        <w:rPr>
          <w:lang w:val="en-US"/>
        </w:rPr>
        <w:t>Performanc</w:t>
      </w:r>
      <w:r>
        <w:rPr>
          <w:lang w:val="en-US"/>
        </w:rPr>
        <w:t xml:space="preserve">e of 4 approaches (simple average vs. </w:t>
      </w:r>
      <w:proofErr w:type="spellStart"/>
      <w:r>
        <w:rPr>
          <w:lang w:val="en-US"/>
        </w:rPr>
        <w:t>multiparameter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Hadlock</w:t>
      </w:r>
      <w:proofErr w:type="spellEnd"/>
      <w:r>
        <w:rPr>
          <w:lang w:val="en-US"/>
        </w:rPr>
        <w:t xml:space="preserve"> equation, with vs. without BPD) was compared </w:t>
      </w:r>
      <w:r w:rsidRPr="009704D6">
        <w:rPr>
          <w:lang w:val="en-US"/>
        </w:rPr>
        <w:t>various charts using data from 1,</w:t>
      </w:r>
      <w:r>
        <w:rPr>
          <w:lang w:val="en-US"/>
        </w:rPr>
        <w:t>984</w:t>
      </w:r>
      <w:r w:rsidRPr="009704D6">
        <w:rPr>
          <w:lang w:val="en-US"/>
        </w:rPr>
        <w:t xml:space="preserve"> scans in low-risk women </w:t>
      </w:r>
      <w:r>
        <w:rPr>
          <w:lang w:val="en-US"/>
        </w:rPr>
        <w:t>from Sunnybrook and MSH</w:t>
      </w:r>
    </w:p>
    <w:p w:rsidR="00044C44" w:rsidRDefault="00044C44" w:rsidP="00044C4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A simple mean of the gestational weeks corresponding to HC, AC, and FL (without BPD) was found to be superior to the other approaches.</w:t>
      </w:r>
    </w:p>
    <w:p w:rsidR="00044C44" w:rsidRPr="00B2678D" w:rsidRDefault="00044C44" w:rsidP="001B2B2C">
      <w:pPr>
        <w:pStyle w:val="ListParagraph"/>
        <w:numPr>
          <w:ilvl w:val="1"/>
          <w:numId w:val="4"/>
        </w:numPr>
        <w:rPr>
          <w:b/>
          <w:bCs/>
          <w:color w:val="00B050"/>
          <w:lang w:val="en-US"/>
        </w:rPr>
      </w:pPr>
      <w:r w:rsidRPr="00B2678D">
        <w:rPr>
          <w:b/>
          <w:bCs/>
          <w:color w:val="00B050"/>
          <w:lang w:val="en-US"/>
        </w:rPr>
        <w:t xml:space="preserve">A consensus decision was made to </w:t>
      </w:r>
      <w:r w:rsidR="00950A50">
        <w:rPr>
          <w:b/>
          <w:bCs/>
          <w:color w:val="00B050"/>
          <w:lang w:val="en-US"/>
        </w:rPr>
        <w:t xml:space="preserve">calculate the AUA </w:t>
      </w:r>
      <w:r>
        <w:rPr>
          <w:b/>
          <w:bCs/>
          <w:color w:val="00B050"/>
          <w:lang w:val="en-US"/>
        </w:rPr>
        <w:t>us</w:t>
      </w:r>
      <w:r w:rsidR="00950A50">
        <w:rPr>
          <w:b/>
          <w:bCs/>
          <w:color w:val="00B050"/>
          <w:lang w:val="en-US"/>
        </w:rPr>
        <w:t>ing</w:t>
      </w:r>
      <w:r>
        <w:rPr>
          <w:b/>
          <w:bCs/>
          <w:color w:val="00B050"/>
          <w:lang w:val="en-US"/>
        </w:rPr>
        <w:t xml:space="preserve"> a simple average of the </w:t>
      </w:r>
      <w:r w:rsidR="001B2B2C">
        <w:rPr>
          <w:b/>
          <w:bCs/>
          <w:color w:val="00B050"/>
          <w:lang w:val="en-US"/>
        </w:rPr>
        <w:t>weeks</w:t>
      </w:r>
      <w:r>
        <w:rPr>
          <w:b/>
          <w:bCs/>
          <w:color w:val="00B050"/>
          <w:lang w:val="en-US"/>
        </w:rPr>
        <w:t xml:space="preserve"> cal</w:t>
      </w:r>
      <w:r w:rsidR="00950A50">
        <w:rPr>
          <w:b/>
          <w:bCs/>
          <w:color w:val="00B050"/>
          <w:lang w:val="en-US"/>
        </w:rPr>
        <w:t>culated for HC, AC, and FL</w:t>
      </w:r>
      <w:r w:rsidRPr="00B2678D">
        <w:rPr>
          <w:b/>
          <w:bCs/>
          <w:color w:val="00B050"/>
          <w:lang w:val="en-US"/>
        </w:rPr>
        <w:t xml:space="preserve"> (see summary below)</w:t>
      </w:r>
    </w:p>
    <w:p w:rsidR="00950A50" w:rsidRPr="00950A50" w:rsidRDefault="00950A50" w:rsidP="00950A50">
      <w:pPr>
        <w:pStyle w:val="ListParagraph"/>
        <w:numPr>
          <w:ilvl w:val="0"/>
          <w:numId w:val="4"/>
        </w:numPr>
        <w:rPr>
          <w:u w:val="single"/>
          <w:lang w:val="en-US"/>
        </w:rPr>
      </w:pPr>
      <w:r w:rsidRPr="00950A50">
        <w:rPr>
          <w:u w:val="single"/>
          <w:lang w:val="en-US"/>
        </w:rPr>
        <w:t>3.5) How to present indices in the ultrasound report</w:t>
      </w:r>
    </w:p>
    <w:p w:rsidR="00950A50" w:rsidRDefault="00950A50" w:rsidP="00950A50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We reviewed the rationale of expressing biometric indices as percentiles, weeks, or both.</w:t>
      </w:r>
    </w:p>
    <w:p w:rsidR="00950A50" w:rsidRPr="00B2678D" w:rsidRDefault="00950A50" w:rsidP="00950A50">
      <w:pPr>
        <w:pStyle w:val="ListParagraph"/>
        <w:numPr>
          <w:ilvl w:val="1"/>
          <w:numId w:val="4"/>
        </w:numPr>
        <w:rPr>
          <w:b/>
          <w:bCs/>
          <w:color w:val="00B050"/>
          <w:lang w:val="en-US"/>
        </w:rPr>
      </w:pPr>
      <w:r w:rsidRPr="00B2678D">
        <w:rPr>
          <w:b/>
          <w:bCs/>
          <w:color w:val="00B050"/>
          <w:lang w:val="en-US"/>
        </w:rPr>
        <w:t xml:space="preserve">A consensus decision was made </w:t>
      </w:r>
      <w:r>
        <w:rPr>
          <w:b/>
          <w:bCs/>
          <w:color w:val="00B050"/>
          <w:lang w:val="en-US"/>
        </w:rPr>
        <w:t>present biometric indices using both percentiles and weeks</w:t>
      </w:r>
    </w:p>
    <w:p w:rsidR="00103814" w:rsidRDefault="00B2678D" w:rsidP="00950A50">
      <w:pPr>
        <w:pStyle w:val="ListParagraph"/>
        <w:ind w:left="1440"/>
        <w:rPr>
          <w:lang w:val="en-US"/>
        </w:rPr>
      </w:pPr>
      <w:r>
        <w:rPr>
          <w:lang w:val="en-US"/>
        </w:rPr>
        <w:br/>
      </w:r>
    </w:p>
    <w:p w:rsidR="00103814" w:rsidRDefault="00103814" w:rsidP="00950A50">
      <w:pPr>
        <w:rPr>
          <w:lang w:val="en-US"/>
        </w:rPr>
      </w:pPr>
      <w:r w:rsidRPr="00F3179C">
        <w:rPr>
          <w:lang w:val="en-US"/>
        </w:rPr>
        <w:t xml:space="preserve">4. </w:t>
      </w:r>
      <w:r w:rsidR="00950A50" w:rsidRPr="00F3179C">
        <w:rPr>
          <w:b/>
          <w:bCs/>
          <w:lang w:val="en-US"/>
        </w:rPr>
        <w:t>When to suspect a short femur length</w:t>
      </w:r>
      <w:r w:rsidRPr="00F3179C">
        <w:rPr>
          <w:b/>
          <w:bCs/>
          <w:lang w:val="en-US"/>
        </w:rPr>
        <w:t xml:space="preserve"> / </w:t>
      </w:r>
      <w:r w:rsidR="00950A50" w:rsidRPr="00F3179C">
        <w:rPr>
          <w:b/>
          <w:bCs/>
          <w:lang w:val="en-US"/>
        </w:rPr>
        <w:t xml:space="preserve">Phyllis </w:t>
      </w:r>
      <w:proofErr w:type="spellStart"/>
      <w:r w:rsidR="00950A50" w:rsidRPr="00F3179C">
        <w:rPr>
          <w:b/>
          <w:bCs/>
          <w:lang w:val="en-US"/>
        </w:rPr>
        <w:t>Glanc</w:t>
      </w:r>
      <w:proofErr w:type="spellEnd"/>
      <w:r w:rsidRPr="00F3179C">
        <w:rPr>
          <w:lang w:val="en-US"/>
        </w:rPr>
        <w:t xml:space="preserve"> (See attached presentation [</w:t>
      </w:r>
      <w:proofErr w:type="spellStart"/>
      <w:r w:rsidR="00950A50" w:rsidRPr="00F3179C">
        <w:rPr>
          <w:b/>
          <w:bCs/>
          <w:i/>
          <w:iCs/>
          <w:color w:val="C00000"/>
          <w:lang w:val="en-US"/>
        </w:rPr>
        <w:t>Glanc</w:t>
      </w:r>
      <w:proofErr w:type="spellEnd"/>
      <w:r w:rsidRPr="00F3179C">
        <w:rPr>
          <w:b/>
          <w:bCs/>
          <w:i/>
          <w:iCs/>
          <w:color w:val="C00000"/>
          <w:lang w:val="en-US"/>
        </w:rPr>
        <w:t xml:space="preserve"> – </w:t>
      </w:r>
      <w:r w:rsidR="00950A50" w:rsidRPr="00F3179C">
        <w:rPr>
          <w:b/>
          <w:bCs/>
          <w:i/>
          <w:iCs/>
          <w:color w:val="C00000"/>
          <w:lang w:val="en-US"/>
        </w:rPr>
        <w:t>Short Femur</w:t>
      </w:r>
      <w:r w:rsidRPr="00F3179C">
        <w:rPr>
          <w:lang w:val="en-US"/>
        </w:rPr>
        <w:t>])</w:t>
      </w:r>
    </w:p>
    <w:p w:rsidR="00950A50" w:rsidRDefault="00950A50" w:rsidP="001038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Review of the clinical associations of short femur</w:t>
      </w:r>
    </w:p>
    <w:p w:rsidR="00950A50" w:rsidRDefault="00950A50" w:rsidP="001038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was emphasized that in cases of skeletal dysplasia, the magnitude of shortening is expected to be at least 4 standard deviations below the mean (Z-score &lt;-4)</w:t>
      </w:r>
    </w:p>
    <w:p w:rsidR="00F3179C" w:rsidRDefault="00F3179C" w:rsidP="00F3179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Discussion of the approach for short femur length at mid second trimester scan</w:t>
      </w:r>
    </w:p>
    <w:p w:rsidR="00F3179C" w:rsidRDefault="00F3179C" w:rsidP="00F3179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Consideration that published data to date relates primarily to retrospective data</w:t>
      </w:r>
    </w:p>
    <w:p w:rsidR="00103814" w:rsidRDefault="00F3179C" w:rsidP="00F3179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Presentation of a proposed protocol</w:t>
      </w:r>
    </w:p>
    <w:p w:rsidR="00103814" w:rsidRDefault="00103814" w:rsidP="00103814">
      <w:pPr>
        <w:rPr>
          <w:lang w:val="en-US"/>
        </w:rPr>
      </w:pPr>
    </w:p>
    <w:p w:rsidR="00103814" w:rsidRDefault="00103814" w:rsidP="00950A50">
      <w:pPr>
        <w:rPr>
          <w:lang w:val="en-US"/>
        </w:rPr>
      </w:pPr>
      <w:r w:rsidRPr="00591E4E">
        <w:rPr>
          <w:lang w:val="en-US"/>
        </w:rPr>
        <w:t xml:space="preserve">5.  </w:t>
      </w:r>
      <w:r w:rsidR="00950A50" w:rsidRPr="00591E4E">
        <w:rPr>
          <w:b/>
          <w:bCs/>
          <w:lang w:val="en-US"/>
        </w:rPr>
        <w:t>When to suspect a small or large head</w:t>
      </w:r>
      <w:r w:rsidRPr="00591E4E">
        <w:rPr>
          <w:b/>
          <w:bCs/>
          <w:lang w:val="en-US"/>
        </w:rPr>
        <w:t xml:space="preserve"> / </w:t>
      </w:r>
      <w:r w:rsidR="00950A50" w:rsidRPr="00591E4E">
        <w:rPr>
          <w:b/>
          <w:bCs/>
          <w:lang w:val="en-US"/>
        </w:rPr>
        <w:t xml:space="preserve">Ants </w:t>
      </w:r>
      <w:proofErr w:type="spellStart"/>
      <w:r w:rsidR="00950A50" w:rsidRPr="00591E4E">
        <w:rPr>
          <w:b/>
          <w:bCs/>
          <w:lang w:val="en-US"/>
        </w:rPr>
        <w:t>Toi</w:t>
      </w:r>
      <w:proofErr w:type="spellEnd"/>
      <w:r w:rsidRPr="00591E4E">
        <w:rPr>
          <w:lang w:val="en-US"/>
        </w:rPr>
        <w:t xml:space="preserve"> (See attached presentation [</w:t>
      </w:r>
      <w:proofErr w:type="spellStart"/>
      <w:r w:rsidR="00950A50" w:rsidRPr="00591E4E">
        <w:rPr>
          <w:b/>
          <w:bCs/>
          <w:i/>
          <w:iCs/>
          <w:color w:val="C00000"/>
          <w:lang w:val="en-US"/>
        </w:rPr>
        <w:t>Toi</w:t>
      </w:r>
      <w:proofErr w:type="spellEnd"/>
      <w:r w:rsidRPr="00591E4E">
        <w:rPr>
          <w:b/>
          <w:bCs/>
          <w:i/>
          <w:iCs/>
          <w:color w:val="C00000"/>
          <w:lang w:val="en-US"/>
        </w:rPr>
        <w:t xml:space="preserve"> – </w:t>
      </w:r>
      <w:proofErr w:type="spellStart"/>
      <w:r w:rsidR="00950A50" w:rsidRPr="00591E4E">
        <w:rPr>
          <w:b/>
          <w:bCs/>
          <w:i/>
          <w:iCs/>
          <w:color w:val="C00000"/>
          <w:lang w:val="en-US"/>
        </w:rPr>
        <w:t>SmallLargeHead</w:t>
      </w:r>
      <w:proofErr w:type="spellEnd"/>
      <w:r w:rsidRPr="00591E4E">
        <w:rPr>
          <w:lang w:val="en-US"/>
        </w:rPr>
        <w:t>])</w:t>
      </w:r>
    </w:p>
    <w:p w:rsidR="00103814" w:rsidRDefault="00950A50" w:rsidP="001038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Review of the challenges in the diagnosis of </w:t>
      </w:r>
      <w:proofErr w:type="spellStart"/>
      <w:r>
        <w:rPr>
          <w:lang w:val="en-US"/>
        </w:rPr>
        <w:t>microcephaly</w:t>
      </w:r>
      <w:proofErr w:type="spellEnd"/>
    </w:p>
    <w:p w:rsidR="00950A50" w:rsidRDefault="00950A50" w:rsidP="001038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Common definitions used for the antenatal and postnatal diagnosis of </w:t>
      </w:r>
      <w:proofErr w:type="spellStart"/>
      <w:r>
        <w:rPr>
          <w:lang w:val="en-US"/>
        </w:rPr>
        <w:t>microcephaly</w:t>
      </w:r>
      <w:proofErr w:type="spellEnd"/>
    </w:p>
    <w:p w:rsidR="00950A50" w:rsidRDefault="00950A50" w:rsidP="001038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Impact of the choice of chart for HC on the risk of </w:t>
      </w:r>
      <w:proofErr w:type="spellStart"/>
      <w:r>
        <w:rPr>
          <w:lang w:val="en-US"/>
        </w:rPr>
        <w:t>microcephaly</w:t>
      </w:r>
      <w:proofErr w:type="spellEnd"/>
    </w:p>
    <w:p w:rsidR="00950A50" w:rsidRPr="00196660" w:rsidRDefault="00950A50" w:rsidP="009A533A">
      <w:pPr>
        <w:pStyle w:val="ListParagraph"/>
        <w:numPr>
          <w:ilvl w:val="0"/>
          <w:numId w:val="5"/>
        </w:numPr>
        <w:rPr>
          <w:b/>
          <w:bCs/>
          <w:color w:val="00B050"/>
          <w:lang w:val="en-US"/>
        </w:rPr>
      </w:pPr>
      <w:r w:rsidRPr="00196660">
        <w:rPr>
          <w:b/>
          <w:bCs/>
          <w:color w:val="00B050"/>
          <w:lang w:val="en-US"/>
        </w:rPr>
        <w:t xml:space="preserve">It was recommended that when HC is &lt;5th percentile </w:t>
      </w:r>
      <w:r w:rsidRPr="00196660">
        <w:rPr>
          <w:b/>
          <w:bCs/>
          <w:color w:val="00B050"/>
          <w:lang w:val="en-US"/>
        </w:rPr>
        <w:sym w:font="Wingdings" w:char="F0E0"/>
      </w:r>
      <w:r w:rsidRPr="00196660">
        <w:rPr>
          <w:b/>
          <w:bCs/>
          <w:color w:val="00B050"/>
          <w:lang w:val="en-US"/>
        </w:rPr>
        <w:t xml:space="preserve"> include in the report also the Z-score for HC (using </w:t>
      </w:r>
      <w:proofErr w:type="spellStart"/>
      <w:r w:rsidRPr="00196660">
        <w:rPr>
          <w:b/>
          <w:bCs/>
          <w:color w:val="00B050"/>
          <w:lang w:val="en-US"/>
        </w:rPr>
        <w:t>Chervenak's</w:t>
      </w:r>
      <w:proofErr w:type="spellEnd"/>
      <w:r w:rsidRPr="00196660">
        <w:rPr>
          <w:b/>
          <w:bCs/>
          <w:color w:val="00B050"/>
          <w:lang w:val="en-US"/>
        </w:rPr>
        <w:t xml:space="preserve"> reference which has been best validated against outcomes related to </w:t>
      </w:r>
      <w:proofErr w:type="spellStart"/>
      <w:r w:rsidRPr="00196660">
        <w:rPr>
          <w:b/>
          <w:bCs/>
          <w:color w:val="00B050"/>
          <w:lang w:val="en-US"/>
        </w:rPr>
        <w:t>microcephaly</w:t>
      </w:r>
      <w:proofErr w:type="spellEnd"/>
      <w:r w:rsidRPr="00196660">
        <w:rPr>
          <w:b/>
          <w:bCs/>
          <w:color w:val="00B050"/>
          <w:lang w:val="en-US"/>
        </w:rPr>
        <w:t>) to provide an indication of how low below the 5th% the HC is</w:t>
      </w:r>
      <w:r w:rsidR="00591E4E">
        <w:rPr>
          <w:b/>
          <w:bCs/>
          <w:color w:val="00B050"/>
          <w:lang w:val="en-US"/>
        </w:rPr>
        <w:t xml:space="preserve"> </w:t>
      </w:r>
      <w:r w:rsidR="00591E4E" w:rsidRPr="00591E4E">
        <w:rPr>
          <w:b/>
          <w:bCs/>
          <w:i/>
          <w:iCs/>
          <w:color w:val="C00000"/>
          <w:lang w:val="en-US"/>
        </w:rPr>
        <w:t>(Table 3</w:t>
      </w:r>
      <w:r w:rsidR="009A533A">
        <w:rPr>
          <w:b/>
          <w:bCs/>
          <w:i/>
          <w:iCs/>
          <w:color w:val="C00000"/>
          <w:lang w:val="en-US"/>
        </w:rPr>
        <w:t xml:space="preserve"> below</w:t>
      </w:r>
      <w:r w:rsidR="00591E4E" w:rsidRPr="00591E4E">
        <w:rPr>
          <w:b/>
          <w:bCs/>
          <w:i/>
          <w:iCs/>
          <w:color w:val="C00000"/>
          <w:lang w:val="en-US"/>
        </w:rPr>
        <w:t>)</w:t>
      </w:r>
      <w:r w:rsidRPr="00196660">
        <w:rPr>
          <w:b/>
          <w:bCs/>
          <w:color w:val="00B050"/>
          <w:lang w:val="en-US"/>
        </w:rPr>
        <w:t>.</w:t>
      </w:r>
    </w:p>
    <w:p w:rsidR="00C76070" w:rsidRDefault="00C76070" w:rsidP="00C76070">
      <w:pPr>
        <w:rPr>
          <w:lang w:val="en-US"/>
        </w:rPr>
      </w:pPr>
    </w:p>
    <w:p w:rsidR="00B2678D" w:rsidRDefault="00B2678D" w:rsidP="00C76070">
      <w:pPr>
        <w:rPr>
          <w:lang w:val="en-US"/>
        </w:rPr>
      </w:pPr>
    </w:p>
    <w:p w:rsidR="00C35992" w:rsidRPr="00C35992" w:rsidRDefault="00C35992" w:rsidP="00C35992">
      <w:pPr>
        <w:rPr>
          <w:b/>
          <w:bCs/>
          <w:sz w:val="32"/>
          <w:szCs w:val="32"/>
          <w:u w:val="single"/>
          <w:lang w:val="en-US"/>
        </w:rPr>
      </w:pPr>
      <w:r w:rsidRPr="00C35992">
        <w:rPr>
          <w:b/>
          <w:bCs/>
          <w:sz w:val="32"/>
          <w:szCs w:val="32"/>
          <w:u w:val="single"/>
          <w:lang w:val="en-US"/>
        </w:rPr>
        <w:t>B. CONSENSUS DECISIONS</w:t>
      </w:r>
    </w:p>
    <w:p w:rsidR="00B2678D" w:rsidRDefault="00B2678D" w:rsidP="00C76070">
      <w:pPr>
        <w:rPr>
          <w:lang w:val="en-US"/>
        </w:rPr>
      </w:pPr>
    </w:p>
    <w:tbl>
      <w:tblPr>
        <w:tblStyle w:val="TableGrid"/>
        <w:tblW w:w="10784" w:type="dxa"/>
        <w:tblLook w:val="04A0"/>
      </w:tblPr>
      <w:tblGrid>
        <w:gridCol w:w="1098"/>
        <w:gridCol w:w="1440"/>
        <w:gridCol w:w="4252"/>
        <w:gridCol w:w="3994"/>
      </w:tblGrid>
      <w:tr w:rsidR="009B4367" w:rsidRPr="001F7675" w:rsidTr="005A7F50">
        <w:tc>
          <w:tcPr>
            <w:tcW w:w="1098" w:type="dxa"/>
            <w:shd w:val="clear" w:color="auto" w:fill="D9D9D9" w:themeFill="background1" w:themeFillShade="D9"/>
          </w:tcPr>
          <w:p w:rsidR="0024606E" w:rsidRDefault="00C35992" w:rsidP="00C76070">
            <w:pPr>
              <w:rPr>
                <w:b/>
                <w:bCs/>
                <w:lang w:val="en-US"/>
              </w:rPr>
            </w:pPr>
            <w:r w:rsidRPr="001F7675">
              <w:rPr>
                <w:b/>
                <w:bCs/>
                <w:lang w:val="en-US"/>
              </w:rPr>
              <w:t xml:space="preserve">Decision </w:t>
            </w:r>
          </w:p>
          <w:p w:rsidR="00C35992" w:rsidRPr="001F7675" w:rsidRDefault="00C35992" w:rsidP="00C76070">
            <w:pPr>
              <w:rPr>
                <w:b/>
                <w:bCs/>
                <w:lang w:val="en-US"/>
              </w:rPr>
            </w:pPr>
            <w:r w:rsidRPr="001F7675">
              <w:rPr>
                <w:b/>
                <w:bCs/>
                <w:lang w:val="en-US"/>
              </w:rPr>
              <w:t>#: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35992" w:rsidRPr="001F7675" w:rsidRDefault="00C35992" w:rsidP="00B3591A">
            <w:pPr>
              <w:rPr>
                <w:b/>
                <w:bCs/>
                <w:lang w:val="en-US"/>
              </w:rPr>
            </w:pPr>
            <w:r w:rsidRPr="001F7675">
              <w:rPr>
                <w:b/>
                <w:bCs/>
                <w:lang w:val="en-US"/>
              </w:rPr>
              <w:t>Topic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35992" w:rsidRPr="001F7675" w:rsidRDefault="00C35992" w:rsidP="00C76070">
            <w:pPr>
              <w:rPr>
                <w:b/>
                <w:bCs/>
                <w:lang w:val="en-US"/>
              </w:rPr>
            </w:pPr>
            <w:r w:rsidRPr="001F7675">
              <w:rPr>
                <w:b/>
                <w:bCs/>
                <w:lang w:val="en-US"/>
              </w:rPr>
              <w:t>Decision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C35992" w:rsidRPr="001F7675" w:rsidRDefault="001F7675" w:rsidP="00C76070">
            <w:pPr>
              <w:rPr>
                <w:b/>
                <w:bCs/>
                <w:lang w:val="en-US"/>
              </w:rPr>
            </w:pPr>
            <w:r w:rsidRPr="001F7675">
              <w:rPr>
                <w:b/>
                <w:bCs/>
                <w:lang w:val="en-US"/>
              </w:rPr>
              <w:t>Rationale</w:t>
            </w:r>
          </w:p>
        </w:tc>
      </w:tr>
      <w:tr w:rsidR="009B4367" w:rsidTr="005A7F50">
        <w:tc>
          <w:tcPr>
            <w:tcW w:w="1098" w:type="dxa"/>
          </w:tcPr>
          <w:p w:rsidR="00C35992" w:rsidRPr="00C35992" w:rsidRDefault="00C35992" w:rsidP="00C35992">
            <w:pPr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440" w:type="dxa"/>
          </w:tcPr>
          <w:p w:rsidR="00C35992" w:rsidRDefault="0092029A" w:rsidP="00B3591A">
            <w:pPr>
              <w:rPr>
                <w:lang w:val="en-US"/>
              </w:rPr>
            </w:pPr>
            <w:r>
              <w:rPr>
                <w:lang w:val="en-US"/>
              </w:rPr>
              <w:t>CRL chart for dating (1</w:t>
            </w:r>
            <w:r w:rsidRPr="0092029A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trimester)</w:t>
            </w:r>
          </w:p>
        </w:tc>
        <w:tc>
          <w:tcPr>
            <w:tcW w:w="4252" w:type="dxa"/>
          </w:tcPr>
          <w:p w:rsidR="00C35992" w:rsidRDefault="0092029A" w:rsidP="009202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Daya</w:t>
            </w:r>
            <w:proofErr w:type="spellEnd"/>
            <w:r>
              <w:rPr>
                <w:lang w:val="en-US"/>
              </w:rPr>
              <w:t xml:space="preserve"> 93’:</w:t>
            </w:r>
          </w:p>
          <w:p w:rsidR="001F7675" w:rsidRPr="001F7675" w:rsidRDefault="0092029A" w:rsidP="0092029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GA (days) = 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40.447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1.125*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CRL 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-0.0058*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CRL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  <w:r w:rsidR="001F7675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[</w:t>
            </w:r>
            <w:r w:rsidR="001F7675"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see attached reference </w:t>
            </w:r>
            <w:r w:rsidR="00C53B38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Daya</w:t>
            </w:r>
            <w:proofErr w:type="spellEnd"/>
            <w:r w:rsidR="001F7675"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AJOG 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93</w:t>
            </w:r>
            <w:r w:rsidR="00C53B38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 w:rsidR="001F7675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C35992" w:rsidRDefault="0092029A" w:rsidP="0092029A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Only chart that is based on IVF</w:t>
            </w:r>
          </w:p>
          <w:p w:rsidR="0092029A" w:rsidRDefault="0092029A" w:rsidP="0092029A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Canadian</w:t>
            </w:r>
          </w:p>
          <w:p w:rsidR="0092029A" w:rsidRDefault="0092029A" w:rsidP="001F7675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  <w:p w:rsidR="001F7675" w:rsidRPr="001F7675" w:rsidRDefault="001F7675" w:rsidP="0092029A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 xml:space="preserve">Most </w:t>
            </w:r>
            <w:r w:rsidR="0092029A">
              <w:rPr>
                <w:lang w:val="en-US"/>
              </w:rPr>
              <w:t>commonly used chart in SOON</w:t>
            </w:r>
          </w:p>
        </w:tc>
      </w:tr>
      <w:tr w:rsidR="009B4367" w:rsidTr="005A7F50">
        <w:tc>
          <w:tcPr>
            <w:tcW w:w="1098" w:type="dxa"/>
          </w:tcPr>
          <w:p w:rsidR="00E024CA" w:rsidRDefault="00E024CA" w:rsidP="00C76070">
            <w:pPr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440" w:type="dxa"/>
          </w:tcPr>
          <w:p w:rsidR="00E024CA" w:rsidRDefault="00E024CA" w:rsidP="00F85357">
            <w:pPr>
              <w:rPr>
                <w:lang w:val="en-US"/>
              </w:rPr>
            </w:pPr>
            <w:r>
              <w:rPr>
                <w:lang w:val="en-US"/>
              </w:rPr>
              <w:t>BPD chart for dating (</w:t>
            </w:r>
            <w:r w:rsidR="00F85357">
              <w:rPr>
                <w:lang w:val="en-US"/>
              </w:rPr>
              <w:t>throughout gestation</w:t>
            </w:r>
            <w:r>
              <w:rPr>
                <w:lang w:val="en-US"/>
              </w:rPr>
              <w:t>)</w:t>
            </w:r>
          </w:p>
        </w:tc>
        <w:tc>
          <w:tcPr>
            <w:tcW w:w="4252" w:type="dxa"/>
          </w:tcPr>
          <w:p w:rsidR="00E024CA" w:rsidRDefault="00E024CA" w:rsidP="00E024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82’:</w:t>
            </w:r>
          </w:p>
          <w:p w:rsidR="00E024CA" w:rsidRPr="001F7675" w:rsidRDefault="00E024CA" w:rsidP="00472BA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GA (weeks) = </w:t>
            </w:r>
            <w:r w:rsidRP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6.8954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2.6345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xBPD </w:t>
            </w:r>
            <w:r w:rsidRP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0.00877*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BPD</w:t>
            </w:r>
            <w:r w:rsidRPr="00E024C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3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CC4EC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CC4EC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BPD</w:t>
            </w:r>
            <w:r w:rsidR="00CC4EC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472BA6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JUM</w:t>
            </w:r>
            <w:r w:rsidR="00CC4EC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785AFE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82</w:t>
            </w:r>
            <w:r w:rsidR="00CC4EC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E024CA" w:rsidRDefault="00E024CA" w:rsidP="00E024CA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 (</w:t>
            </w: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84’ results in systematic over-estimation of GA by 7 days in the 1</w:t>
            </w:r>
            <w:r w:rsidRPr="00E024CA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trimester</w:t>
            </w:r>
          </w:p>
          <w:p w:rsidR="00E024CA" w:rsidRPr="00E024CA" w:rsidRDefault="00E024CA" w:rsidP="00E024CA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 w:rsidRPr="00E024CA">
              <w:rPr>
                <w:lang w:val="en-US"/>
              </w:rPr>
              <w:t>Most commonly used chart in SOON</w:t>
            </w:r>
          </w:p>
        </w:tc>
      </w:tr>
      <w:tr w:rsidR="009B4367" w:rsidTr="005A7F50">
        <w:tc>
          <w:tcPr>
            <w:tcW w:w="1098" w:type="dxa"/>
          </w:tcPr>
          <w:p w:rsidR="00872F68" w:rsidRDefault="00872F68" w:rsidP="00C76070">
            <w:pPr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1440" w:type="dxa"/>
          </w:tcPr>
          <w:p w:rsidR="00872F68" w:rsidRDefault="00872F68" w:rsidP="00C53B38">
            <w:pPr>
              <w:rPr>
                <w:lang w:val="en-US"/>
              </w:rPr>
            </w:pPr>
            <w:r>
              <w:rPr>
                <w:lang w:val="en-US"/>
              </w:rPr>
              <w:t>HC chart for dating (throughout gestation)</w:t>
            </w:r>
          </w:p>
        </w:tc>
        <w:tc>
          <w:tcPr>
            <w:tcW w:w="4252" w:type="dxa"/>
          </w:tcPr>
          <w:p w:rsidR="00872F68" w:rsidRDefault="00872F68" w:rsidP="00F853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84’:</w:t>
            </w:r>
          </w:p>
          <w:p w:rsidR="00872F68" w:rsidRPr="001F7675" w:rsidRDefault="00872F68" w:rsidP="00D351B1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GA (weeks) = </w:t>
            </w:r>
            <w:r w:rsidRPr="00F8535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8.96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8535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8535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0.54*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HC </w:t>
            </w:r>
            <w:r w:rsidRPr="00F8535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8535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0.0003*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HC</w:t>
            </w:r>
            <w:r w:rsidRPr="00F8535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D351B1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D351B1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Radiology </w:t>
            </w:r>
            <w:r w:rsidR="00785AFE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84</w:t>
            </w:r>
            <w:r w:rsidR="00D351B1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872F68" w:rsidRPr="00872F68" w:rsidRDefault="00872F68" w:rsidP="00872F6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 xml:space="preserve">Best performance in our population </w:t>
            </w:r>
          </w:p>
        </w:tc>
      </w:tr>
      <w:tr w:rsidR="009B4367" w:rsidTr="005A7F50">
        <w:tc>
          <w:tcPr>
            <w:tcW w:w="1098" w:type="dxa"/>
          </w:tcPr>
          <w:p w:rsidR="00E12128" w:rsidRDefault="00E12128" w:rsidP="003666A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3666A2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1440" w:type="dxa"/>
          </w:tcPr>
          <w:p w:rsidR="00E12128" w:rsidRDefault="00E12128" w:rsidP="00C53B38">
            <w:pPr>
              <w:rPr>
                <w:lang w:val="en-US"/>
              </w:rPr>
            </w:pPr>
            <w:r>
              <w:rPr>
                <w:lang w:val="en-US"/>
              </w:rPr>
              <w:t>AC chart for dating (throughout gestation)</w:t>
            </w:r>
          </w:p>
        </w:tc>
        <w:tc>
          <w:tcPr>
            <w:tcW w:w="4252" w:type="dxa"/>
          </w:tcPr>
          <w:p w:rsidR="00E12128" w:rsidRDefault="00E12128" w:rsidP="00E121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82’:</w:t>
            </w:r>
          </w:p>
          <w:p w:rsidR="00E12128" w:rsidRPr="001F7675" w:rsidRDefault="00E12128" w:rsidP="00472BA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GA (weeks) = </w:t>
            </w:r>
            <w:r w:rsidRPr="00E1212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7.607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1212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1212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0.7645*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AC </w:t>
            </w:r>
            <w:r w:rsidRPr="00E1212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E1212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0.00393*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AC</w:t>
            </w:r>
            <w:r w:rsidRPr="00E1212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 w:rsidR="00472BA6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’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472BA6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B550D8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A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C</w:t>
            </w:r>
            <w:r w:rsidR="00472BA6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AJR </w:t>
            </w:r>
            <w:r w:rsidR="00785AFE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</w:t>
            </w:r>
            <w:r w:rsidR="00B550D8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2</w:t>
            </w:r>
            <w:r w:rsidR="00472BA6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E12128" w:rsidRDefault="00E12128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  <w:p w:rsidR="00E12128" w:rsidRPr="00872F68" w:rsidRDefault="00E12128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 w:rsidRPr="00E024CA">
              <w:rPr>
                <w:lang w:val="en-US"/>
              </w:rPr>
              <w:t>Most commonly used chart in SOON</w:t>
            </w:r>
            <w:r>
              <w:rPr>
                <w:lang w:val="en-US"/>
              </w:rPr>
              <w:t xml:space="preserve"> </w:t>
            </w:r>
          </w:p>
        </w:tc>
      </w:tr>
      <w:tr w:rsidR="00B550D8" w:rsidTr="005A7F50">
        <w:tc>
          <w:tcPr>
            <w:tcW w:w="1098" w:type="dxa"/>
          </w:tcPr>
          <w:p w:rsidR="00B550D8" w:rsidRDefault="003666A2" w:rsidP="00C76070">
            <w:pPr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1440" w:type="dxa"/>
          </w:tcPr>
          <w:p w:rsidR="00B550D8" w:rsidRDefault="00B550D8" w:rsidP="00C53B38">
            <w:pPr>
              <w:rPr>
                <w:lang w:val="en-US"/>
              </w:rPr>
            </w:pPr>
            <w:r>
              <w:rPr>
                <w:lang w:val="en-US"/>
              </w:rPr>
              <w:t>FL chart for dating (throughout gestation)</w:t>
            </w:r>
          </w:p>
        </w:tc>
        <w:tc>
          <w:tcPr>
            <w:tcW w:w="4252" w:type="dxa"/>
          </w:tcPr>
          <w:p w:rsidR="00B550D8" w:rsidRDefault="00B550D8" w:rsidP="00C53B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84’:</w:t>
            </w:r>
          </w:p>
          <w:p w:rsidR="00B550D8" w:rsidRPr="001F7675" w:rsidRDefault="00B550D8" w:rsidP="00D351B1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GA (weeks) = </w:t>
            </w:r>
            <w:r w:rsidR="009B4367" w:rsidRP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10.35</w:t>
            </w:r>
            <w:r w:rsid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B4367" w:rsidRP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 w:rsid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B4367" w:rsidRP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2.46*</w:t>
            </w:r>
            <w:r w:rsid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FL </w:t>
            </w:r>
            <w:r w:rsidR="009B4367" w:rsidRP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+</w:t>
            </w:r>
            <w:r w:rsid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B4367" w:rsidRP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0.17*</w:t>
            </w:r>
            <w:r w:rsid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FL</w:t>
            </w:r>
            <w:r w:rsidR="009B4367" w:rsidRPr="009B4367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D351B1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D351B1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Radiology  </w:t>
            </w:r>
            <w:r w:rsidR="00785AFE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84</w:t>
            </w:r>
            <w:r w:rsidR="00D351B1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5A7F50" w:rsidRDefault="005A7F50" w:rsidP="005A7F50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  <w:p w:rsidR="00B550D8" w:rsidRPr="00EA246E" w:rsidRDefault="00B550D8" w:rsidP="00EA246E">
            <w:pPr>
              <w:ind w:left="72"/>
              <w:rPr>
                <w:lang w:val="en-US"/>
              </w:rPr>
            </w:pPr>
          </w:p>
        </w:tc>
      </w:tr>
      <w:tr w:rsidR="00EA246E" w:rsidTr="005A7F50">
        <w:tc>
          <w:tcPr>
            <w:tcW w:w="1098" w:type="dxa"/>
          </w:tcPr>
          <w:p w:rsidR="00EA246E" w:rsidRDefault="00EA246E" w:rsidP="00C76070">
            <w:pPr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1440" w:type="dxa"/>
          </w:tcPr>
          <w:p w:rsidR="00EA246E" w:rsidRDefault="00EA246E" w:rsidP="003666A2">
            <w:pPr>
              <w:rPr>
                <w:lang w:val="en-US"/>
              </w:rPr>
            </w:pPr>
            <w:r>
              <w:rPr>
                <w:lang w:val="en-US"/>
              </w:rPr>
              <w:t>Chart for BPD percentile</w:t>
            </w:r>
          </w:p>
        </w:tc>
        <w:tc>
          <w:tcPr>
            <w:tcW w:w="4252" w:type="dxa"/>
          </w:tcPr>
          <w:p w:rsidR="00EA246E" w:rsidRDefault="00EA246E" w:rsidP="00C53B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82’:</w:t>
            </w:r>
          </w:p>
          <w:p w:rsidR="00EA246E" w:rsidRPr="001F7675" w:rsidRDefault="00EA246E" w:rsidP="001667D3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Mean BPD (cm)  = </w:t>
            </w:r>
            <w:r w:rsidRPr="00EA246E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2.34 + 0.367*GA - 0.0000449*GA</w:t>
            </w:r>
            <w:r w:rsidRPr="00EA246E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;   SD=0.2 cm</w:t>
            </w:r>
            <w:r w:rsidRPr="0092029A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BPD</w:t>
            </w:r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C1231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lastRenderedPageBreak/>
              <w:t xml:space="preserve">JUM </w:t>
            </w:r>
            <w:r w:rsidR="00785AFE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82</w:t>
            </w:r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EA246E" w:rsidRDefault="00EA246E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lastRenderedPageBreak/>
              <w:t>Best performance in our population</w:t>
            </w:r>
          </w:p>
          <w:p w:rsidR="00EA246E" w:rsidRPr="00872F68" w:rsidRDefault="00EA246E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 w:rsidRPr="00E024CA">
              <w:rPr>
                <w:lang w:val="en-US"/>
              </w:rPr>
              <w:t>Most commonly used chart in SOON</w:t>
            </w:r>
            <w:r>
              <w:rPr>
                <w:lang w:val="en-US"/>
              </w:rPr>
              <w:t xml:space="preserve"> </w:t>
            </w:r>
          </w:p>
        </w:tc>
      </w:tr>
      <w:tr w:rsidR="00EA246E" w:rsidTr="005A7F50">
        <w:tc>
          <w:tcPr>
            <w:tcW w:w="1098" w:type="dxa"/>
          </w:tcPr>
          <w:p w:rsidR="00EA246E" w:rsidRDefault="00EA246E" w:rsidP="00C7607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(7)</w:t>
            </w:r>
          </w:p>
        </w:tc>
        <w:tc>
          <w:tcPr>
            <w:tcW w:w="1440" w:type="dxa"/>
          </w:tcPr>
          <w:p w:rsidR="00EA246E" w:rsidRDefault="00EA246E" w:rsidP="003666A2">
            <w:pPr>
              <w:rPr>
                <w:lang w:val="en-US"/>
              </w:rPr>
            </w:pPr>
            <w:r>
              <w:rPr>
                <w:lang w:val="en-US"/>
              </w:rPr>
              <w:t>Chart for HC percentile</w:t>
            </w:r>
          </w:p>
        </w:tc>
        <w:tc>
          <w:tcPr>
            <w:tcW w:w="4252" w:type="dxa"/>
          </w:tcPr>
          <w:p w:rsidR="00EA246E" w:rsidRDefault="00EA246E" w:rsidP="00C53B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84’:</w:t>
            </w:r>
          </w:p>
          <w:p w:rsidR="00EA246E" w:rsidRPr="001F7675" w:rsidRDefault="00EA246E" w:rsidP="00DB7689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Mean HC (cm)  = </w:t>
            </w:r>
            <w:r w:rsidR="000B7E02"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-11.48 +</w:t>
            </w:r>
            <w:r w:rsidR="00322B0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0B7E02"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1.56</w:t>
            </w:r>
            <w:r w:rsid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*</w:t>
            </w:r>
            <w:r w:rsidR="000B7E02"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GA</w:t>
            </w:r>
            <w:r w:rsid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0B7E02"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- 0.0002548</w:t>
            </w:r>
            <w:r w:rsid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*</w:t>
            </w:r>
            <w:r w:rsidR="000B7E02"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GA</w:t>
            </w:r>
            <w:r w:rsidR="000B7E02"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3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;   SD=</w:t>
            </w:r>
            <w:r w:rsid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1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  <w:r w:rsid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0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cm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DB768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DB768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Radiology 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84</w:t>
            </w:r>
            <w:r w:rsidR="00DB768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EA246E" w:rsidRPr="00322B08" w:rsidRDefault="00322B08" w:rsidP="00322B0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</w:tc>
      </w:tr>
      <w:tr w:rsidR="00F62942" w:rsidTr="005A7F50">
        <w:tc>
          <w:tcPr>
            <w:tcW w:w="1098" w:type="dxa"/>
          </w:tcPr>
          <w:p w:rsidR="00F62942" w:rsidRDefault="00F62942" w:rsidP="00C76070">
            <w:pPr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  <w:tc>
          <w:tcPr>
            <w:tcW w:w="1440" w:type="dxa"/>
          </w:tcPr>
          <w:p w:rsidR="00F62942" w:rsidRDefault="00F62942" w:rsidP="003666A2">
            <w:pPr>
              <w:rPr>
                <w:lang w:val="en-US"/>
              </w:rPr>
            </w:pPr>
            <w:r>
              <w:rPr>
                <w:lang w:val="en-US"/>
              </w:rPr>
              <w:t>Chart for AC percentile</w:t>
            </w:r>
          </w:p>
        </w:tc>
        <w:tc>
          <w:tcPr>
            <w:tcW w:w="4252" w:type="dxa"/>
          </w:tcPr>
          <w:p w:rsidR="00F62942" w:rsidRDefault="00F62942" w:rsidP="00C53B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82’:</w:t>
            </w:r>
          </w:p>
          <w:p w:rsidR="00F62942" w:rsidRPr="001F7675" w:rsidRDefault="00F62942" w:rsidP="001667D3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Mean AC (cm)  = </w:t>
            </w:r>
            <w:r w:rsidRPr="000B7E0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-</w:t>
            </w:r>
            <w:r w:rsidRPr="00322B0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10.4997 + 1.4256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*</w:t>
            </w:r>
            <w:r w:rsidRPr="00322B0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GA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322B0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-0.00697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*</w:t>
            </w:r>
            <w:r w:rsidRPr="00322B0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GA</w:t>
            </w:r>
            <w:r w:rsidRPr="00322B08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;   SD=1.23 cm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AC</w:t>
            </w:r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AJR </w:t>
            </w:r>
            <w:r w:rsidR="00C53B38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82</w:t>
            </w:r>
            <w:r w:rsidR="001667D3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F62942" w:rsidRDefault="00F62942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  <w:p w:rsidR="00F62942" w:rsidRPr="00872F68" w:rsidRDefault="00F62942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 w:rsidRPr="00E024CA">
              <w:rPr>
                <w:lang w:val="en-US"/>
              </w:rPr>
              <w:t>Most commonly used chart in SOON</w:t>
            </w:r>
            <w:r>
              <w:rPr>
                <w:lang w:val="en-US"/>
              </w:rPr>
              <w:t xml:space="preserve"> </w:t>
            </w:r>
          </w:p>
        </w:tc>
      </w:tr>
      <w:tr w:rsidR="00F62942" w:rsidTr="005A7F50">
        <w:tc>
          <w:tcPr>
            <w:tcW w:w="1098" w:type="dxa"/>
          </w:tcPr>
          <w:p w:rsidR="00F62942" w:rsidRDefault="00F62942" w:rsidP="00C76070">
            <w:pPr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1440" w:type="dxa"/>
          </w:tcPr>
          <w:p w:rsidR="00F62942" w:rsidRDefault="00F62942" w:rsidP="003666A2">
            <w:pPr>
              <w:rPr>
                <w:lang w:val="en-US"/>
              </w:rPr>
            </w:pPr>
            <w:r>
              <w:rPr>
                <w:lang w:val="en-US"/>
              </w:rPr>
              <w:t>Chart for FL percentile</w:t>
            </w:r>
          </w:p>
        </w:tc>
        <w:tc>
          <w:tcPr>
            <w:tcW w:w="4252" w:type="dxa"/>
          </w:tcPr>
          <w:p w:rsidR="00F62942" w:rsidRDefault="00F62942" w:rsidP="00C53B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Hadlock</w:t>
            </w:r>
            <w:proofErr w:type="spellEnd"/>
            <w:r>
              <w:rPr>
                <w:lang w:val="en-US"/>
              </w:rPr>
              <w:t xml:space="preserve"> 84’:</w:t>
            </w:r>
          </w:p>
          <w:p w:rsidR="00F62942" w:rsidRPr="001F7675" w:rsidRDefault="00F62942" w:rsidP="00DB7689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Mean FL (cm)  = </w:t>
            </w:r>
            <w:r w:rsidRPr="00F6294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-3.91 + 0.427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*</w:t>
            </w:r>
            <w:r w:rsidRPr="00F6294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GA – 0.0034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*</w:t>
            </w:r>
            <w:r w:rsidRPr="00F6294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GA</w:t>
            </w:r>
            <w:r w:rsidRPr="00F62942"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;   SD=0.3 cm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  <w:t>[</w:t>
            </w:r>
            <w:r w:rsidRPr="001F7675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see attached reference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</w:t>
            </w:r>
            <w:r w:rsidR="00DB768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‘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Hadlock</w:t>
            </w:r>
            <w:proofErr w:type="spellEnd"/>
            <w:r w:rsidR="00DB768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 xml:space="preserve"> Radiology 19</w:t>
            </w:r>
            <w:r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84</w:t>
            </w:r>
            <w:r w:rsidR="00DB7689">
              <w:rPr>
                <w:rFonts w:cs="Arial"/>
                <w:b/>
                <w:bCs/>
                <w:i/>
                <w:iCs/>
                <w:color w:val="FF0000"/>
                <w:shd w:val="clear" w:color="auto" w:fill="FFFFFF"/>
              </w:rPr>
              <w:t>’</w:t>
            </w:r>
            <w:r>
              <w:rPr>
                <w:rFonts w:cs="Arial"/>
                <w:b/>
                <w:bCs/>
                <w:i/>
                <w:iCs/>
                <w:color w:val="000000"/>
                <w:shd w:val="clear" w:color="auto" w:fill="FFFFFF"/>
              </w:rPr>
              <w:t>]</w:t>
            </w:r>
          </w:p>
        </w:tc>
        <w:tc>
          <w:tcPr>
            <w:tcW w:w="3994" w:type="dxa"/>
          </w:tcPr>
          <w:p w:rsidR="00F62942" w:rsidRPr="00322B08" w:rsidRDefault="00F62942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</w:tc>
      </w:tr>
      <w:tr w:rsidR="001B2B2C" w:rsidTr="005A7F50">
        <w:tc>
          <w:tcPr>
            <w:tcW w:w="1098" w:type="dxa"/>
          </w:tcPr>
          <w:p w:rsidR="001B2B2C" w:rsidRDefault="001B2B2C" w:rsidP="00C76070">
            <w:pPr>
              <w:rPr>
                <w:lang w:val="en-US"/>
              </w:rPr>
            </w:pPr>
            <w:r>
              <w:rPr>
                <w:lang w:val="en-US"/>
              </w:rPr>
              <w:t>(10)</w:t>
            </w:r>
          </w:p>
        </w:tc>
        <w:tc>
          <w:tcPr>
            <w:tcW w:w="1440" w:type="dxa"/>
          </w:tcPr>
          <w:p w:rsidR="001B2B2C" w:rsidRDefault="001B2B2C" w:rsidP="00C53B38">
            <w:pPr>
              <w:rPr>
                <w:lang w:val="en-US"/>
              </w:rPr>
            </w:pPr>
            <w:r>
              <w:rPr>
                <w:lang w:val="en-US"/>
              </w:rPr>
              <w:t xml:space="preserve">Calculation of </w:t>
            </w:r>
            <w:r w:rsidRPr="001B2B2C">
              <w:rPr>
                <w:lang w:val="en-US"/>
              </w:rPr>
              <w:t>Average Ultrasound Age (AUA)</w:t>
            </w:r>
          </w:p>
        </w:tc>
        <w:tc>
          <w:tcPr>
            <w:tcW w:w="4252" w:type="dxa"/>
          </w:tcPr>
          <w:p w:rsidR="001B2B2C" w:rsidRPr="001B2B2C" w:rsidRDefault="001B2B2C" w:rsidP="00E12128">
            <w:pPr>
              <w:rPr>
                <w:b/>
                <w:bCs/>
                <w:i/>
                <w:iCs/>
                <w:lang w:val="en-US"/>
              </w:rPr>
            </w:pPr>
            <w:r w:rsidRPr="001B2B2C">
              <w:rPr>
                <w:b/>
                <w:bCs/>
                <w:i/>
                <w:iCs/>
                <w:lang w:val="en-US"/>
              </w:rPr>
              <w:t>Simple average of the weeks calculated for HC, AC, and FL</w:t>
            </w:r>
          </w:p>
        </w:tc>
        <w:tc>
          <w:tcPr>
            <w:tcW w:w="3994" w:type="dxa"/>
          </w:tcPr>
          <w:p w:rsidR="001B2B2C" w:rsidRPr="00322B08" w:rsidRDefault="001B2B2C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Best performance in our population</w:t>
            </w:r>
          </w:p>
        </w:tc>
      </w:tr>
      <w:tr w:rsidR="001B2B2C" w:rsidTr="005A7F50">
        <w:tc>
          <w:tcPr>
            <w:tcW w:w="1098" w:type="dxa"/>
          </w:tcPr>
          <w:p w:rsidR="001B2B2C" w:rsidRDefault="001B2B2C" w:rsidP="00C76070">
            <w:pPr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  <w:tc>
          <w:tcPr>
            <w:tcW w:w="1440" w:type="dxa"/>
          </w:tcPr>
          <w:p w:rsidR="001B2B2C" w:rsidRDefault="001B2B2C" w:rsidP="00C53B38">
            <w:pPr>
              <w:rPr>
                <w:lang w:val="en-US"/>
              </w:rPr>
            </w:pPr>
            <w:r w:rsidRPr="001B2B2C">
              <w:rPr>
                <w:lang w:val="en-US"/>
              </w:rPr>
              <w:t>How to present indices in the ultrasound report</w:t>
            </w:r>
          </w:p>
        </w:tc>
        <w:tc>
          <w:tcPr>
            <w:tcW w:w="4252" w:type="dxa"/>
          </w:tcPr>
          <w:p w:rsidR="001B2B2C" w:rsidRPr="001B2B2C" w:rsidRDefault="001B2B2C" w:rsidP="001B2B2C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lang w:val="en-US"/>
              </w:rPr>
            </w:pPr>
            <w:r>
              <w:rPr>
                <w:lang w:val="en-US"/>
              </w:rPr>
              <w:t xml:space="preserve">Present as both </w:t>
            </w:r>
            <w:r w:rsidRPr="001B2B2C">
              <w:rPr>
                <w:b/>
                <w:bCs/>
                <w:lang w:val="en-US"/>
              </w:rPr>
              <w:t>WEEKS</w:t>
            </w:r>
            <w:r>
              <w:rPr>
                <w:lang w:val="en-US"/>
              </w:rPr>
              <w:t xml:space="preserve"> and </w:t>
            </w:r>
            <w:r w:rsidRPr="001B2B2C">
              <w:rPr>
                <w:b/>
                <w:bCs/>
                <w:lang w:val="en-US"/>
              </w:rPr>
              <w:t>PERCENTILES</w:t>
            </w:r>
          </w:p>
          <w:p w:rsidR="001B2B2C" w:rsidRPr="001B2B2C" w:rsidRDefault="001B2B2C" w:rsidP="001B2B2C">
            <w:pPr>
              <w:rPr>
                <w:lang w:val="en-US"/>
              </w:rPr>
            </w:pPr>
          </w:p>
        </w:tc>
        <w:tc>
          <w:tcPr>
            <w:tcW w:w="3994" w:type="dxa"/>
          </w:tcPr>
          <w:p w:rsidR="001B2B2C" w:rsidRPr="001B2B2C" w:rsidRDefault="001B2B2C" w:rsidP="001B2B2C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 w:rsidRPr="001B2B2C">
              <w:rPr>
                <w:lang w:val="en-US"/>
              </w:rPr>
              <w:t>Percentiles - more precise, GA independent</w:t>
            </w:r>
            <w:r>
              <w:rPr>
                <w:lang w:val="en-US"/>
              </w:rPr>
              <w:t xml:space="preserve">, </w:t>
            </w:r>
            <w:r w:rsidRPr="001B2B2C">
              <w:rPr>
                <w:lang w:val="en-US"/>
              </w:rPr>
              <w:t>more likely to capture attention</w:t>
            </w:r>
          </w:p>
          <w:p w:rsidR="001B2B2C" w:rsidRDefault="001B2B2C" w:rsidP="001B2B2C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 w:rsidRPr="001B2B2C">
              <w:rPr>
                <w:lang w:val="en-US"/>
              </w:rPr>
              <w:t xml:space="preserve"> Weeks – easier in early gestation, </w:t>
            </w:r>
            <w:r>
              <w:rPr>
                <w:lang w:val="en-US"/>
              </w:rPr>
              <w:t xml:space="preserve">can assist when </w:t>
            </w:r>
            <w:r w:rsidRPr="001B2B2C">
              <w:rPr>
                <w:lang w:val="en-US"/>
              </w:rPr>
              <w:t>compar</w:t>
            </w:r>
            <w:r>
              <w:rPr>
                <w:lang w:val="en-US"/>
              </w:rPr>
              <w:t>ing</w:t>
            </w:r>
            <w:r w:rsidRPr="001B2B2C">
              <w:rPr>
                <w:lang w:val="en-US"/>
              </w:rPr>
              <w:t xml:space="preserve"> serial exams</w:t>
            </w:r>
            <w:r>
              <w:rPr>
                <w:lang w:val="en-US"/>
              </w:rPr>
              <w:t xml:space="preserve">, some </w:t>
            </w:r>
            <w:r w:rsidRPr="001B2B2C">
              <w:rPr>
                <w:lang w:val="en-US"/>
              </w:rPr>
              <w:t xml:space="preserve">care providers may be used to </w:t>
            </w:r>
            <w:r>
              <w:rPr>
                <w:lang w:val="en-US"/>
              </w:rPr>
              <w:t>weeks</w:t>
            </w:r>
          </w:p>
          <w:p w:rsidR="001B2B2C" w:rsidRDefault="001B2B2C" w:rsidP="001B2B2C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</w:p>
        </w:tc>
      </w:tr>
      <w:tr w:rsidR="001B2B2C" w:rsidTr="005A7F50">
        <w:tc>
          <w:tcPr>
            <w:tcW w:w="1098" w:type="dxa"/>
          </w:tcPr>
          <w:p w:rsidR="001B2B2C" w:rsidRDefault="001B2B2C" w:rsidP="00C76070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1B2B2C" w:rsidRDefault="001B2B2C" w:rsidP="00C53B38">
            <w:pPr>
              <w:rPr>
                <w:lang w:val="en-US"/>
              </w:rPr>
            </w:pPr>
          </w:p>
        </w:tc>
        <w:tc>
          <w:tcPr>
            <w:tcW w:w="4252" w:type="dxa"/>
          </w:tcPr>
          <w:p w:rsidR="001B2B2C" w:rsidRDefault="001B2B2C" w:rsidP="002C20DD">
            <w:pPr>
              <w:rPr>
                <w:lang w:val="en-US"/>
              </w:rPr>
            </w:pPr>
            <w:r>
              <w:rPr>
                <w:lang w:val="en-US"/>
              </w:rPr>
              <w:t xml:space="preserve">When </w:t>
            </w:r>
            <w:r w:rsidRPr="001B2B2C">
              <w:rPr>
                <w:b/>
                <w:bCs/>
                <w:lang w:val="en-US"/>
              </w:rPr>
              <w:t>HC&lt;5</w:t>
            </w:r>
            <w:r w:rsidRPr="001B2B2C">
              <w:rPr>
                <w:b/>
                <w:bCs/>
                <w:vertAlign w:val="superscript"/>
                <w:lang w:val="en-US"/>
              </w:rPr>
              <w:t>th</w:t>
            </w:r>
            <w:r w:rsidRPr="001B2B2C">
              <w:rPr>
                <w:b/>
                <w:bCs/>
                <w:lang w:val="en-US"/>
              </w:rPr>
              <w:t>%,</w:t>
            </w:r>
            <w:r>
              <w:rPr>
                <w:lang w:val="en-US"/>
              </w:rPr>
              <w:t xml:space="preserve"> </w:t>
            </w:r>
            <w:r w:rsidRPr="001B2B2C">
              <w:rPr>
                <w:lang w:val="en-US"/>
              </w:rPr>
              <w:t xml:space="preserve">include in the report also the </w:t>
            </w:r>
            <w:r w:rsidRPr="001B2B2C">
              <w:rPr>
                <w:b/>
                <w:bCs/>
                <w:lang w:val="en-US"/>
              </w:rPr>
              <w:t>Z-score for HC</w:t>
            </w:r>
            <w:r w:rsidRPr="001B2B2C">
              <w:rPr>
                <w:lang w:val="en-US"/>
              </w:rPr>
              <w:t xml:space="preserve"> (using </w:t>
            </w:r>
            <w:proofErr w:type="spellStart"/>
            <w:r w:rsidRPr="001B2B2C">
              <w:rPr>
                <w:lang w:val="en-US"/>
              </w:rPr>
              <w:t>Chervenak's</w:t>
            </w:r>
            <w:proofErr w:type="spellEnd"/>
            <w:r w:rsidRPr="001B2B2C">
              <w:rPr>
                <w:lang w:val="en-US"/>
              </w:rPr>
              <w:t xml:space="preserve"> reference</w:t>
            </w:r>
            <w:r w:rsidR="00540836">
              <w:rPr>
                <w:lang w:val="en-US"/>
              </w:rPr>
              <w:t xml:space="preserve"> – see attached </w:t>
            </w:r>
            <w:r w:rsidR="002C20DD">
              <w:rPr>
                <w:lang w:val="en-US"/>
              </w:rPr>
              <w:t>‘</w:t>
            </w:r>
            <w:proofErr w:type="spellStart"/>
            <w:r w:rsidR="00540836" w:rsidRPr="00540836">
              <w:rPr>
                <w:b/>
                <w:bCs/>
                <w:color w:val="FF0000"/>
                <w:lang w:val="en-US"/>
              </w:rPr>
              <w:t>Chervenak</w:t>
            </w:r>
            <w:proofErr w:type="spellEnd"/>
            <w:r w:rsidR="002C20DD">
              <w:rPr>
                <w:b/>
                <w:bCs/>
                <w:color w:val="FF0000"/>
                <w:lang w:val="en-US"/>
              </w:rPr>
              <w:t xml:space="preserve"> </w:t>
            </w:r>
            <w:r w:rsidR="00BA6448">
              <w:rPr>
                <w:b/>
                <w:bCs/>
                <w:color w:val="FF0000"/>
                <w:lang w:val="en-US"/>
              </w:rPr>
              <w:t>HC</w:t>
            </w:r>
            <w:r w:rsidR="002C20DD">
              <w:rPr>
                <w:b/>
                <w:bCs/>
                <w:color w:val="FF0000"/>
                <w:lang w:val="en-US"/>
              </w:rPr>
              <w:t xml:space="preserve"> AJOG 19</w:t>
            </w:r>
            <w:r w:rsidR="00540836" w:rsidRPr="00540836">
              <w:rPr>
                <w:b/>
                <w:bCs/>
                <w:color w:val="FF0000"/>
                <w:lang w:val="en-US"/>
              </w:rPr>
              <w:t>84</w:t>
            </w:r>
            <w:r w:rsidR="00184D05">
              <w:rPr>
                <w:b/>
                <w:bCs/>
                <w:color w:val="FF0000"/>
                <w:lang w:val="en-US"/>
              </w:rPr>
              <w:t>’</w:t>
            </w:r>
            <w:r w:rsidR="00540836">
              <w:rPr>
                <w:lang w:val="en-US"/>
              </w:rPr>
              <w:t>)</w:t>
            </w:r>
            <w:r w:rsidR="00CD562D">
              <w:rPr>
                <w:lang w:val="en-US"/>
              </w:rPr>
              <w:t xml:space="preserve"> - </w:t>
            </w:r>
            <w:r w:rsidR="00CD562D" w:rsidRPr="00591E4E">
              <w:rPr>
                <w:b/>
                <w:bCs/>
                <w:i/>
                <w:iCs/>
                <w:color w:val="C00000"/>
                <w:lang w:val="en-US"/>
              </w:rPr>
              <w:t>(Table 3</w:t>
            </w:r>
            <w:r w:rsidR="00CD562D">
              <w:rPr>
                <w:b/>
                <w:bCs/>
                <w:i/>
                <w:iCs/>
                <w:color w:val="C00000"/>
                <w:lang w:val="en-US"/>
              </w:rPr>
              <w:t xml:space="preserve"> below</w:t>
            </w:r>
            <w:r w:rsidR="00CD562D" w:rsidRPr="00591E4E">
              <w:rPr>
                <w:b/>
                <w:bCs/>
                <w:i/>
                <w:iCs/>
                <w:color w:val="C00000"/>
                <w:lang w:val="en-US"/>
              </w:rPr>
              <w:t>)</w:t>
            </w:r>
          </w:p>
        </w:tc>
        <w:tc>
          <w:tcPr>
            <w:tcW w:w="3994" w:type="dxa"/>
          </w:tcPr>
          <w:p w:rsidR="001B2B2C" w:rsidRDefault="001B2B2C" w:rsidP="00C53B38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B2B2C">
              <w:rPr>
                <w:lang w:val="en-US"/>
              </w:rPr>
              <w:t>rovide</w:t>
            </w:r>
            <w:r>
              <w:rPr>
                <w:lang w:val="en-US"/>
              </w:rPr>
              <w:t>s</w:t>
            </w:r>
            <w:r w:rsidRPr="001B2B2C">
              <w:rPr>
                <w:lang w:val="en-US"/>
              </w:rPr>
              <w:t xml:space="preserve"> an indication of how low below the 5th% the HC is</w:t>
            </w:r>
          </w:p>
          <w:p w:rsidR="001B2B2C" w:rsidRPr="001B2B2C" w:rsidRDefault="001B2B2C" w:rsidP="001B2B2C">
            <w:pPr>
              <w:pStyle w:val="ListParagraph"/>
              <w:numPr>
                <w:ilvl w:val="0"/>
                <w:numId w:val="5"/>
              </w:numPr>
              <w:ind w:left="432"/>
              <w:rPr>
                <w:lang w:val="en-US"/>
              </w:rPr>
            </w:pPr>
            <w:r>
              <w:rPr>
                <w:lang w:val="en-US"/>
              </w:rPr>
              <w:t xml:space="preserve">Definition of </w:t>
            </w:r>
            <w:proofErr w:type="spellStart"/>
            <w:r>
              <w:rPr>
                <w:lang w:val="en-US"/>
              </w:rPr>
              <w:t>microcephaly</w:t>
            </w:r>
            <w:proofErr w:type="spellEnd"/>
            <w:r>
              <w:rPr>
                <w:lang w:val="en-US"/>
              </w:rPr>
              <w:t xml:space="preserve"> is based on Z-score</w:t>
            </w:r>
          </w:p>
        </w:tc>
      </w:tr>
    </w:tbl>
    <w:p w:rsidR="00C35992" w:rsidRDefault="00C35992" w:rsidP="00C76070">
      <w:pPr>
        <w:rPr>
          <w:lang w:val="en-US"/>
        </w:rPr>
      </w:pPr>
    </w:p>
    <w:p w:rsidR="00C35992" w:rsidRDefault="00C35992" w:rsidP="00C76070">
      <w:pPr>
        <w:rPr>
          <w:lang w:val="en-US"/>
        </w:rPr>
      </w:pPr>
    </w:p>
    <w:p w:rsidR="00C35992" w:rsidRDefault="00C35992" w:rsidP="00C76070">
      <w:pPr>
        <w:rPr>
          <w:lang w:val="en-US"/>
        </w:rPr>
      </w:pPr>
    </w:p>
    <w:p w:rsidR="004E7738" w:rsidRPr="00C35992" w:rsidRDefault="004E7738" w:rsidP="004E7738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C</w:t>
      </w:r>
      <w:r w:rsidRPr="00C35992">
        <w:rPr>
          <w:b/>
          <w:bCs/>
          <w:sz w:val="32"/>
          <w:szCs w:val="32"/>
          <w:u w:val="single"/>
          <w:lang w:val="en-US"/>
        </w:rPr>
        <w:t xml:space="preserve">. </w:t>
      </w:r>
      <w:r>
        <w:rPr>
          <w:b/>
          <w:bCs/>
          <w:sz w:val="32"/>
          <w:szCs w:val="32"/>
          <w:u w:val="single"/>
          <w:lang w:val="en-US"/>
        </w:rPr>
        <w:t>NEXT STEPS</w:t>
      </w:r>
    </w:p>
    <w:p w:rsidR="00C35992" w:rsidRDefault="00C35992" w:rsidP="00C76070">
      <w:pPr>
        <w:rPr>
          <w:lang w:val="en-US"/>
        </w:rPr>
      </w:pPr>
    </w:p>
    <w:p w:rsidR="00377B4A" w:rsidRDefault="00D951B4" w:rsidP="00D951B4">
      <w:pPr>
        <w:pStyle w:val="ListParagraph"/>
        <w:numPr>
          <w:ilvl w:val="0"/>
          <w:numId w:val="10"/>
        </w:numPr>
        <w:rPr>
          <w:b/>
          <w:bCs/>
          <w:lang w:val="en-US"/>
        </w:rPr>
      </w:pPr>
      <w:r>
        <w:rPr>
          <w:b/>
          <w:bCs/>
          <w:lang w:val="en-US"/>
        </w:rPr>
        <w:t>Present the Consensus decisions in the upcoming SOON meeting</w:t>
      </w:r>
    </w:p>
    <w:p w:rsidR="00D951B4" w:rsidRDefault="00D951B4" w:rsidP="00D951B4">
      <w:pPr>
        <w:pStyle w:val="ListParagraph"/>
        <w:numPr>
          <w:ilvl w:val="0"/>
          <w:numId w:val="10"/>
        </w:numPr>
        <w:rPr>
          <w:b/>
          <w:bCs/>
          <w:lang w:val="en-US"/>
        </w:rPr>
      </w:pPr>
      <w:r>
        <w:rPr>
          <w:b/>
          <w:bCs/>
          <w:lang w:val="en-US"/>
        </w:rPr>
        <w:t>Write and submit a paper to JOGC describing the approach towards consensus and a summary of the consensus decisions</w:t>
      </w:r>
    </w:p>
    <w:p w:rsidR="00D951B4" w:rsidRPr="00D951B4" w:rsidRDefault="00D951B4" w:rsidP="00D951B4">
      <w:pPr>
        <w:pStyle w:val="ListParagraph"/>
        <w:ind w:left="360"/>
        <w:rPr>
          <w:b/>
          <w:bCs/>
          <w:lang w:val="en-US"/>
        </w:rPr>
      </w:pPr>
    </w:p>
    <w:p w:rsidR="00F63224" w:rsidRDefault="00377B4A" w:rsidP="00D951B4">
      <w:pPr>
        <w:rPr>
          <w:lang w:val="en-US"/>
        </w:rPr>
      </w:pPr>
      <w:r w:rsidRPr="00377B4A">
        <w:rPr>
          <w:b/>
          <w:bCs/>
          <w:lang w:val="en-US"/>
        </w:rPr>
        <w:lastRenderedPageBreak/>
        <w:t>If any</w:t>
      </w:r>
      <w:r w:rsidR="00D951B4">
        <w:rPr>
          <w:b/>
          <w:bCs/>
          <w:lang w:val="en-US"/>
        </w:rPr>
        <w:t xml:space="preserve"> of you</w:t>
      </w:r>
      <w:r w:rsidRPr="00377B4A">
        <w:rPr>
          <w:b/>
          <w:bCs/>
          <w:lang w:val="en-US"/>
        </w:rPr>
        <w:t xml:space="preserve"> is interested in leading the next meeting </w:t>
      </w:r>
      <w:r w:rsidR="00D951B4">
        <w:rPr>
          <w:b/>
          <w:bCs/>
          <w:lang w:val="en-US"/>
        </w:rPr>
        <w:t xml:space="preserve">or would like to discuss ideas for discussion in the next meeting </w:t>
      </w:r>
      <w:r w:rsidRPr="00377B4A">
        <w:rPr>
          <w:b/>
          <w:bCs/>
          <w:lang w:val="en-US"/>
        </w:rPr>
        <w:t>please contact</w:t>
      </w:r>
      <w:r>
        <w:rPr>
          <w:b/>
          <w:bCs/>
          <w:lang w:val="en-US"/>
        </w:rPr>
        <w:t>:</w:t>
      </w:r>
      <w:r w:rsidRPr="00377B4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proofErr w:type="spellStart"/>
      <w:r>
        <w:rPr>
          <w:b/>
          <w:bCs/>
          <w:lang w:val="en-US"/>
        </w:rPr>
        <w:t>N</w:t>
      </w:r>
      <w:r w:rsidRPr="00377B4A">
        <w:rPr>
          <w:b/>
          <w:bCs/>
          <w:lang w:val="en-US"/>
        </w:rPr>
        <w:t>ir</w:t>
      </w:r>
      <w:proofErr w:type="spellEnd"/>
      <w:r w:rsidRPr="00377B4A">
        <w:rPr>
          <w:b/>
          <w:bCs/>
          <w:lang w:val="en-US"/>
        </w:rPr>
        <w:t xml:space="preserve"> (</w:t>
      </w:r>
      <w:hyperlink r:id="rId7" w:history="1">
        <w:r w:rsidRPr="00377B4A">
          <w:rPr>
            <w:rStyle w:val="Hyperlink"/>
            <w:b/>
            <w:bCs/>
            <w:lang w:val="en-US"/>
          </w:rPr>
          <w:t>nir.melamed@sunnybrook.ca</w:t>
        </w:r>
      </w:hyperlink>
      <w:r w:rsidRPr="00377B4A">
        <w:rPr>
          <w:b/>
          <w:bCs/>
          <w:lang w:val="en-US"/>
        </w:rPr>
        <w:t>) or Jon (</w:t>
      </w:r>
      <w:hyperlink r:id="rId8" w:history="1">
        <w:r w:rsidRPr="000A0282">
          <w:rPr>
            <w:rStyle w:val="Hyperlink"/>
            <w:b/>
            <w:bCs/>
            <w:lang w:val="en-US"/>
          </w:rPr>
          <w:t>Jon.barrett@sunnybrook.ca</w:t>
        </w:r>
      </w:hyperlink>
      <w:r w:rsidRPr="00377B4A">
        <w:rPr>
          <w:b/>
          <w:bCs/>
          <w:lang w:val="en-US"/>
        </w:rPr>
        <w:t>)</w:t>
      </w:r>
    </w:p>
    <w:p w:rsidR="00F63224" w:rsidRDefault="00F63224" w:rsidP="00F65AE8">
      <w:pPr>
        <w:rPr>
          <w:b/>
          <w:bCs/>
          <w:i/>
          <w:iCs/>
          <w:lang w:val="en-US"/>
        </w:rPr>
      </w:pPr>
    </w:p>
    <w:p w:rsidR="00893FC0" w:rsidRDefault="00893FC0" w:rsidP="00C76070">
      <w:pPr>
        <w:rPr>
          <w:lang w:val="en-US"/>
        </w:rPr>
        <w:sectPr w:rsidR="00893FC0" w:rsidSect="00922350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F078D" w:rsidRPr="003F078D" w:rsidRDefault="003F078D" w:rsidP="00C76070">
      <w:pPr>
        <w:rPr>
          <w:b/>
          <w:bCs/>
          <w:sz w:val="32"/>
          <w:szCs w:val="32"/>
          <w:u w:val="single"/>
          <w:lang w:val="en-US"/>
        </w:rPr>
      </w:pPr>
      <w:r w:rsidRPr="003F078D">
        <w:rPr>
          <w:b/>
          <w:bCs/>
          <w:sz w:val="32"/>
          <w:szCs w:val="32"/>
          <w:u w:val="single"/>
          <w:lang w:val="en-US"/>
        </w:rPr>
        <w:lastRenderedPageBreak/>
        <w:t>D. TABLES</w:t>
      </w:r>
    </w:p>
    <w:p w:rsidR="003F078D" w:rsidRDefault="003F078D" w:rsidP="00C76070">
      <w:pPr>
        <w:rPr>
          <w:b/>
          <w:bCs/>
          <w:u w:val="single"/>
          <w:lang w:val="en-US"/>
        </w:rPr>
      </w:pPr>
    </w:p>
    <w:p w:rsidR="007C5CD8" w:rsidRDefault="00893FC0" w:rsidP="00E54D7E">
      <w:pPr>
        <w:rPr>
          <w:b/>
          <w:bCs/>
          <w:u w:val="single"/>
          <w:lang w:val="en-US"/>
        </w:rPr>
      </w:pPr>
      <w:r w:rsidRPr="00893FC0">
        <w:rPr>
          <w:b/>
          <w:bCs/>
          <w:u w:val="single"/>
          <w:lang w:val="en-US"/>
        </w:rPr>
        <w:t xml:space="preserve">Table 1: Participants in the first consensus meeting, </w:t>
      </w:r>
      <w:r w:rsidR="00E54D7E">
        <w:rPr>
          <w:b/>
          <w:bCs/>
          <w:u w:val="single"/>
          <w:lang w:val="en-US"/>
        </w:rPr>
        <w:t>Nov-12</w:t>
      </w:r>
      <w:r w:rsidR="00E54D7E" w:rsidRPr="00E54D7E">
        <w:rPr>
          <w:b/>
          <w:bCs/>
          <w:u w:val="single"/>
          <w:vertAlign w:val="superscript"/>
          <w:lang w:val="en-US"/>
        </w:rPr>
        <w:t>th</w:t>
      </w:r>
      <w:r w:rsidRPr="00893FC0">
        <w:rPr>
          <w:b/>
          <w:bCs/>
          <w:u w:val="single"/>
          <w:lang w:val="en-US"/>
        </w:rPr>
        <w:t>, 2019</w:t>
      </w:r>
    </w:p>
    <w:p w:rsidR="00893FC0" w:rsidRDefault="00893FC0" w:rsidP="00C76070">
      <w:pPr>
        <w:rPr>
          <w:b/>
          <w:bCs/>
          <w:u w:val="single"/>
          <w:lang w:val="en-US"/>
        </w:rPr>
      </w:pPr>
    </w:p>
    <w:tbl>
      <w:tblPr>
        <w:tblW w:w="8646" w:type="dxa"/>
        <w:tblInd w:w="95" w:type="dxa"/>
        <w:tblLook w:val="04A0"/>
      </w:tblPr>
      <w:tblGrid>
        <w:gridCol w:w="440"/>
        <w:gridCol w:w="1923"/>
        <w:gridCol w:w="1488"/>
        <w:gridCol w:w="1991"/>
        <w:gridCol w:w="1184"/>
        <w:gridCol w:w="1620"/>
      </w:tblGrid>
      <w:tr w:rsidR="00E54D7E" w:rsidRPr="00893FC0" w:rsidTr="00F41DE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#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Name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Speciality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Centre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In person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Teleconference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Jon Barrett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Sunnybrook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Nir</w:t>
            </w:r>
            <w:proofErr w:type="spellEnd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Melamed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Sunnybrook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Ori</w:t>
            </w:r>
            <w:proofErr w:type="spellEnd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Nevo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Sunnybrook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Phyllis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Glanc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Sunnybrook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BC2F98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V</w:t>
            </w:r>
            <w:r w:rsidR="00E54D7E"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asilica</w:t>
            </w:r>
            <w:proofErr w:type="spellEnd"/>
            <w:r w:rsidR="00E54D7E"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</w:t>
            </w:r>
            <w:proofErr w:type="spellStart"/>
            <w:r w:rsidR="00E54D7E"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Stratulat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U/S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Sunnybrook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Howard Berger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SMH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John Kingdom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MSH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Nan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Okun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MSH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Nimrah</w:t>
            </w:r>
            <w:proofErr w:type="spellEnd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abassi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MSH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</w:t>
            </w:r>
            <w:r w:rsid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Clare Whitehead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Australlia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</w:t>
            </w:r>
            <w:r w:rsid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Ants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Toi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MSH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Patrick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Mohide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McMaster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Bryon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DeFrance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McMaster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Elad</w:t>
            </w:r>
            <w:proofErr w:type="spellEnd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Mei-Dan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NYGH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Hani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Akoury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St Joseph's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Rose </w:t>
            </w: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Rahmani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RR Imaging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Rose Lee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True North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E54D7E" w:rsidRPr="00893FC0" w:rsidTr="00F41DE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Sharon Shin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True North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D7E" w:rsidRPr="00893FC0" w:rsidRDefault="00E54D7E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893FC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 </w:t>
            </w:r>
          </w:p>
        </w:tc>
      </w:tr>
      <w:tr w:rsidR="00F41DE9" w:rsidRPr="00893FC0" w:rsidTr="00F41DE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B35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Bonnie </w:t>
            </w:r>
            <w:proofErr w:type="spellStart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O'hayon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NYGH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F41DE9" w:rsidRPr="00893FC0" w:rsidTr="00831A60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Karolyn </w:t>
            </w:r>
            <w:proofErr w:type="spellStart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Zareetsky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Rad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Port Perry Imaging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</w:tr>
      <w:tr w:rsidR="00F41DE9" w:rsidRPr="00893FC0" w:rsidTr="00F41DE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Amir </w:t>
            </w:r>
            <w:proofErr w:type="spellStart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aviram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FMM Fellow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MSH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F41DE9" w:rsidRPr="00893FC0" w:rsidTr="00F41DE9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proofErr w:type="spellStart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Liran</w:t>
            </w:r>
            <w:proofErr w:type="spellEnd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</w:t>
            </w:r>
            <w:proofErr w:type="spellStart"/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Hiersch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 FMM Fellow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MSH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F41DE9" w:rsidRPr="00893FC0" w:rsidTr="00B3591A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Mickey Zhang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Markham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</w:tr>
      <w:tr w:rsidR="00F41DE9" w:rsidRPr="00893FC0" w:rsidTr="00B3591A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Lara Gotha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F41DE9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F41DE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Scarborough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  <w:tr w:rsidR="00F41DE9" w:rsidRPr="00893FC0" w:rsidTr="0020775F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20775F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20775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20775F" w:rsidRDefault="00F41DE9" w:rsidP="00F41DE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20775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 xml:space="preserve">Richard </w:t>
            </w:r>
            <w:proofErr w:type="spellStart"/>
            <w:r w:rsidRPr="0020775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Persadie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E9" w:rsidRPr="0020775F" w:rsidRDefault="00F41DE9" w:rsidP="00F41D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20775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MFM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893FC0" w:rsidRDefault="00F41DE9" w:rsidP="00B359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20775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McMaster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9" w:rsidRPr="0020775F" w:rsidRDefault="00F41DE9" w:rsidP="00893FC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</w:p>
        </w:tc>
      </w:tr>
    </w:tbl>
    <w:p w:rsidR="00AE292D" w:rsidRDefault="00AE292D" w:rsidP="00C76070">
      <w:pPr>
        <w:rPr>
          <w:b/>
          <w:bCs/>
          <w:u w:val="single"/>
          <w:lang w:val="en-US"/>
        </w:rPr>
      </w:pPr>
    </w:p>
    <w:p w:rsidR="00B3591A" w:rsidRDefault="00B3591A" w:rsidP="00C76070">
      <w:pPr>
        <w:rPr>
          <w:b/>
          <w:bCs/>
          <w:u w:val="single"/>
          <w:lang w:val="en-US"/>
        </w:rPr>
      </w:pPr>
    </w:p>
    <w:p w:rsidR="00B3591A" w:rsidRDefault="00B3591A" w:rsidP="00C76070">
      <w:pPr>
        <w:rPr>
          <w:b/>
          <w:bCs/>
          <w:u w:val="single"/>
          <w:lang w:val="en-US"/>
        </w:rPr>
      </w:pPr>
    </w:p>
    <w:p w:rsidR="00B3591A" w:rsidRDefault="00B3591A" w:rsidP="00916A90">
      <w:pPr>
        <w:rPr>
          <w:b/>
          <w:bCs/>
          <w:u w:val="single"/>
          <w:lang w:val="en-US"/>
        </w:rPr>
        <w:sectPr w:rsidR="00B3591A" w:rsidSect="00AE292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93FC0" w:rsidRDefault="004027CA" w:rsidP="00916A9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TABLE </w:t>
      </w:r>
      <w:r w:rsidR="00AE292D">
        <w:rPr>
          <w:b/>
          <w:bCs/>
          <w:u w:val="single"/>
          <w:lang w:val="en-US"/>
        </w:rPr>
        <w:t>2</w:t>
      </w:r>
      <w:r w:rsidR="00B3591A">
        <w:rPr>
          <w:b/>
          <w:bCs/>
          <w:u w:val="single"/>
          <w:lang w:val="en-US"/>
        </w:rPr>
        <w:t>.1</w:t>
      </w:r>
      <w:r w:rsidR="00AE292D">
        <w:rPr>
          <w:b/>
          <w:bCs/>
          <w:u w:val="single"/>
          <w:lang w:val="en-US"/>
        </w:rPr>
        <w:t xml:space="preserve">: </w:t>
      </w:r>
      <w:r w:rsidR="00AE292D" w:rsidRPr="00AE292D">
        <w:rPr>
          <w:b/>
          <w:bCs/>
          <w:u w:val="single"/>
          <w:lang w:val="en-US"/>
        </w:rPr>
        <w:t xml:space="preserve">Variation in </w:t>
      </w:r>
      <w:r w:rsidR="00916A90">
        <w:rPr>
          <w:b/>
          <w:bCs/>
          <w:u w:val="single"/>
          <w:lang w:val="en-US"/>
        </w:rPr>
        <w:t xml:space="preserve">charts used for ultrasound dating </w:t>
      </w:r>
      <w:r w:rsidR="00AE292D" w:rsidRPr="00AE292D">
        <w:rPr>
          <w:b/>
          <w:bCs/>
          <w:u w:val="single"/>
          <w:lang w:val="en-US"/>
        </w:rPr>
        <w:t>in SOON</w:t>
      </w:r>
      <w:r w:rsidR="00AE292D">
        <w:rPr>
          <w:b/>
          <w:bCs/>
          <w:u w:val="single"/>
          <w:lang w:val="en-US"/>
        </w:rPr>
        <w:t xml:space="preserve"> </w:t>
      </w:r>
    </w:p>
    <w:p w:rsidR="00AE292D" w:rsidRDefault="00AE292D" w:rsidP="00C76070">
      <w:pPr>
        <w:rPr>
          <w:b/>
          <w:bCs/>
          <w:u w:val="single"/>
          <w:lang w:val="en-US"/>
        </w:rPr>
      </w:pP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2662"/>
        <w:gridCol w:w="1384"/>
        <w:gridCol w:w="1336"/>
        <w:gridCol w:w="1336"/>
        <w:gridCol w:w="1336"/>
        <w:gridCol w:w="1336"/>
      </w:tblGrid>
      <w:tr w:rsidR="00916A90" w:rsidRPr="00916A90" w:rsidTr="00916A90">
        <w:trPr>
          <w:trHeight w:val="103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b/>
                <w:bCs/>
                <w:u w:val="single"/>
                <w:lang w:val="en-US"/>
              </w:rPr>
            </w:pPr>
            <w:r w:rsidRPr="00916A90">
              <w:rPr>
                <w:b/>
                <w:bCs/>
                <w:u w:val="single"/>
                <w:lang w:val="en-CA"/>
              </w:rPr>
              <w:t>Center</w:t>
            </w:r>
            <w:r w:rsidRPr="00916A90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b/>
                <w:bCs/>
                <w:u w:val="single"/>
                <w:lang w:val="en-US"/>
              </w:rPr>
            </w:pPr>
            <w:r w:rsidRPr="00916A90">
              <w:rPr>
                <w:b/>
                <w:bCs/>
                <w:u w:val="single"/>
                <w:lang w:val="en-US"/>
              </w:rPr>
              <w:t xml:space="preserve">CRL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916A9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BPD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916A9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HC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916A9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AC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916A90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FL</w:t>
            </w:r>
          </w:p>
        </w:tc>
      </w:tr>
      <w:tr w:rsidR="00916A90" w:rsidRPr="00916A90" w:rsidTr="00916A90">
        <w:trPr>
          <w:trHeight w:val="13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Sunnybrook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>Daya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 xml:space="preserve"> 93</w:t>
            </w:r>
            <w:r w:rsidRPr="00916A90">
              <w:rPr>
                <w:rFonts w:eastAsia="Calibri"/>
                <w:b/>
                <w:bCs/>
                <w:color w:val="FF66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/84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/84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/84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65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(CEOU)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>Daya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 xml:space="preserve"> 93</w:t>
            </w:r>
            <w:r w:rsidRPr="00916A90">
              <w:rPr>
                <w:rFonts w:eastAsia="Calibri"/>
                <w:b/>
                <w:bCs/>
                <w:color w:val="FF66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11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St Jose Hospital (Toronto)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>Daya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 xml:space="preserve"> 93</w:t>
            </w:r>
            <w:r w:rsidRPr="00916A90">
              <w:rPr>
                <w:rFonts w:eastAsia="Calibri"/>
                <w:b/>
                <w:bCs/>
                <w:color w:val="FF66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33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SMH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030A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030A0"/>
                <w:kern w:val="24"/>
                <w:sz w:val="20"/>
                <w:szCs w:val="20"/>
              </w:rPr>
              <w:t xml:space="preserve"> 92</w:t>
            </w:r>
            <w:r w:rsidRPr="00916A90">
              <w:rPr>
                <w:rFonts w:eastAsia="Calibri"/>
                <w:b/>
                <w:bCs/>
                <w:color w:val="7030A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True North Imaging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030A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030A0"/>
                <w:kern w:val="24"/>
                <w:sz w:val="20"/>
                <w:szCs w:val="20"/>
              </w:rPr>
              <w:t xml:space="preserve"> 92</w:t>
            </w:r>
            <w:r w:rsidRPr="00916A90">
              <w:rPr>
                <w:rFonts w:eastAsia="Calibri"/>
                <w:b/>
                <w:bCs/>
                <w:color w:val="7030A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65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>St Joseph’s (Hamilton)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>Daya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 xml:space="preserve"> 93</w:t>
            </w:r>
            <w:r w:rsidRPr="00916A90">
              <w:rPr>
                <w:rFonts w:eastAsia="Calibri"/>
                <w:b/>
                <w:bCs/>
                <w:color w:val="FF66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31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MUMC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>Daya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 xml:space="preserve"> 93</w:t>
            </w:r>
            <w:r w:rsidRPr="00916A90">
              <w:rPr>
                <w:rFonts w:eastAsia="Calibri"/>
                <w:b/>
                <w:bCs/>
                <w:color w:val="FF66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6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NYGH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030A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030A0"/>
                <w:kern w:val="24"/>
                <w:sz w:val="20"/>
                <w:szCs w:val="20"/>
              </w:rPr>
              <w:t xml:space="preserve"> 92</w:t>
            </w:r>
            <w:r w:rsidRPr="00916A90">
              <w:rPr>
                <w:rFonts w:eastAsia="Calibri"/>
                <w:b/>
                <w:bCs/>
                <w:color w:val="7030A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83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>RR Imaging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CC6600"/>
                <w:kern w:val="24"/>
                <w:sz w:val="20"/>
                <w:szCs w:val="20"/>
              </w:rPr>
              <w:t>Robinson 75</w:t>
            </w:r>
            <w:r w:rsidRPr="00916A90">
              <w:rPr>
                <w:rFonts w:eastAsia="Calibri"/>
                <w:b/>
                <w:bCs/>
                <w:color w:val="CC66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13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Port Perry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>Daya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66FF"/>
                <w:kern w:val="24"/>
                <w:sz w:val="20"/>
                <w:szCs w:val="20"/>
              </w:rPr>
              <w:t xml:space="preserve"> 93</w:t>
            </w:r>
            <w:r w:rsidRPr="00916A90">
              <w:rPr>
                <w:rFonts w:eastAsia="Calibri"/>
                <w:b/>
                <w:bCs/>
                <w:color w:val="FF66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15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(Fetal Unit)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CC6600"/>
                <w:kern w:val="24"/>
                <w:sz w:val="20"/>
                <w:szCs w:val="20"/>
              </w:rPr>
              <w:t>Robinson 75</w:t>
            </w:r>
            <w:r w:rsidRPr="00916A90">
              <w:rPr>
                <w:rFonts w:eastAsia="Calibri"/>
                <w:b/>
                <w:bCs/>
                <w:color w:val="CC66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0099FF"/>
                <w:kern w:val="24"/>
                <w:sz w:val="20"/>
                <w:szCs w:val="20"/>
                <w:lang w:val="en-CA"/>
              </w:rPr>
              <w:t>Chitty 94</w:t>
            </w:r>
            <w:r w:rsidRPr="00916A90">
              <w:rPr>
                <w:rFonts w:ascii="Calibri" w:eastAsia="Calibri" w:hAnsi="Calibri" w:cs="Arial"/>
                <w:b/>
                <w:bCs/>
                <w:color w:val="0099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>Verburg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 xml:space="preserve"> 08?</w:t>
            </w:r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>Verburg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 xml:space="preserve"> 08?</w:t>
            </w:r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>Verburg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 xml:space="preserve"> 08?</w:t>
            </w:r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3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916A90">
            <w:pPr>
              <w:rPr>
                <w:lang w:val="en-US"/>
              </w:rPr>
            </w:pPr>
            <w:r w:rsidRPr="00916A90">
              <w:rPr>
                <w:lang w:val="en-CA"/>
              </w:rPr>
              <w:t>Credit Valley</w:t>
            </w:r>
            <w:r w:rsidRPr="00916A90">
              <w:rPr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  <w:lang w:val="en-CA"/>
              </w:rPr>
              <w:t>?</w:t>
            </w:r>
            <w:r w:rsidRPr="00916A90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AE292D" w:rsidRDefault="00AE292D" w:rsidP="00C76070">
      <w:pPr>
        <w:rPr>
          <w:b/>
          <w:bCs/>
          <w:u w:val="single"/>
          <w:lang w:val="en-US"/>
        </w:rPr>
      </w:pPr>
    </w:p>
    <w:p w:rsidR="00916A90" w:rsidRDefault="004027CA" w:rsidP="00B3591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TABLE </w:t>
      </w:r>
      <w:r w:rsidR="00B3591A">
        <w:rPr>
          <w:b/>
          <w:bCs/>
          <w:u w:val="single"/>
          <w:lang w:val="en-US"/>
        </w:rPr>
        <w:t>2.2</w:t>
      </w:r>
      <w:r w:rsidR="00916A90">
        <w:rPr>
          <w:b/>
          <w:bCs/>
          <w:u w:val="single"/>
          <w:lang w:val="en-US"/>
        </w:rPr>
        <w:t xml:space="preserve">: </w:t>
      </w:r>
      <w:r w:rsidR="00916A90" w:rsidRPr="00AE292D">
        <w:rPr>
          <w:b/>
          <w:bCs/>
          <w:u w:val="single"/>
          <w:lang w:val="en-US"/>
        </w:rPr>
        <w:t xml:space="preserve">Variation in </w:t>
      </w:r>
      <w:r w:rsidR="00916A90">
        <w:rPr>
          <w:b/>
          <w:bCs/>
          <w:u w:val="single"/>
          <w:lang w:val="en-US"/>
        </w:rPr>
        <w:t>the approach used to calculate overall dating (AUA</w:t>
      </w:r>
      <w:proofErr w:type="gramStart"/>
      <w:r w:rsidR="00916A90">
        <w:rPr>
          <w:b/>
          <w:bCs/>
          <w:u w:val="single"/>
          <w:lang w:val="en-US"/>
        </w:rPr>
        <w:t xml:space="preserve">)  </w:t>
      </w:r>
      <w:r w:rsidR="00916A90" w:rsidRPr="00AE292D">
        <w:rPr>
          <w:b/>
          <w:bCs/>
          <w:u w:val="single"/>
          <w:lang w:val="en-US"/>
        </w:rPr>
        <w:t>in</w:t>
      </w:r>
      <w:proofErr w:type="gramEnd"/>
      <w:r w:rsidR="00916A90" w:rsidRPr="00AE292D">
        <w:rPr>
          <w:b/>
          <w:bCs/>
          <w:u w:val="single"/>
          <w:lang w:val="en-US"/>
        </w:rPr>
        <w:t xml:space="preserve"> SOON</w:t>
      </w:r>
      <w:r w:rsidR="00916A90">
        <w:rPr>
          <w:b/>
          <w:bCs/>
          <w:u w:val="single"/>
          <w:lang w:val="en-US"/>
        </w:rPr>
        <w:t xml:space="preserve"> </w:t>
      </w:r>
    </w:p>
    <w:p w:rsidR="00916A90" w:rsidRDefault="00916A90" w:rsidP="00916A90">
      <w:pPr>
        <w:rPr>
          <w:b/>
          <w:bCs/>
          <w:u w:val="single"/>
          <w:lang w:val="en-US"/>
        </w:rPr>
      </w:pPr>
    </w:p>
    <w:tbl>
      <w:tblPr>
        <w:tblW w:w="9380" w:type="dxa"/>
        <w:tblCellMar>
          <w:left w:w="0" w:type="dxa"/>
          <w:right w:w="0" w:type="dxa"/>
        </w:tblCellMar>
        <w:tblLook w:val="04A0"/>
      </w:tblPr>
      <w:tblGrid>
        <w:gridCol w:w="2621"/>
        <w:gridCol w:w="6759"/>
      </w:tblGrid>
      <w:tr w:rsidR="00916A90" w:rsidRPr="00916A90" w:rsidTr="00916A90">
        <w:trPr>
          <w:trHeight w:val="103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 w:rsidRPr="00916A90">
              <w:rPr>
                <w:b/>
                <w:bCs/>
                <w:u w:val="single"/>
                <w:lang w:val="en-CA"/>
              </w:rPr>
              <w:t>Center</w:t>
            </w:r>
            <w:r w:rsidRPr="00916A90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Approach to determine AUA</w:t>
            </w:r>
          </w:p>
        </w:tc>
      </w:tr>
      <w:tr w:rsidR="00916A90" w:rsidRPr="00916A90" w:rsidTr="00916A90">
        <w:trPr>
          <w:trHeight w:val="13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Sunnybrook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Simple average</w:t>
            </w:r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BDP+HC+AC+FL</w:t>
            </w:r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6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(CEOU)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Simple average</w:t>
            </w:r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cBDP+AC+FL</w:t>
            </w:r>
            <w:proofErr w:type="spellEnd"/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11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St Jose Hospital (Toronto)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Multiparameter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equation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33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SMH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Simple average </w:t>
            </w:r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HC, AC, FL</w:t>
            </w:r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29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True North Imaging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Multiparameter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equation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6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>St Joseph’s (Hamilton)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hAnsi="Calibri" w:cs="Tahoma"/>
                <w:b/>
                <w:bCs/>
                <w:color w:val="FF0000"/>
                <w:kern w:val="24"/>
                <w:sz w:val="20"/>
                <w:szCs w:val="20"/>
              </w:rPr>
              <w:t>Multiparameter</w:t>
            </w:r>
            <w:proofErr w:type="spellEnd"/>
            <w:r w:rsidRPr="00916A90">
              <w:rPr>
                <w:rFonts w:ascii="Calibri" w:hAnsi="Calibri" w:cs="Tahom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hAnsi="Calibri" w:cs="Tahoma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hAnsi="Calibri" w:cs="Tahoma"/>
                <w:b/>
                <w:bCs/>
                <w:color w:val="FF0000"/>
                <w:kern w:val="24"/>
                <w:sz w:val="20"/>
                <w:szCs w:val="20"/>
              </w:rPr>
              <w:t xml:space="preserve"> equation </w:t>
            </w:r>
            <w:r w:rsidRPr="00916A90">
              <w:rPr>
                <w:rFonts w:ascii="Calibri" w:hAnsi="Calibri" w:cs="Tahoma"/>
                <w:color w:val="000000"/>
                <w:kern w:val="24"/>
                <w:sz w:val="20"/>
                <w:szCs w:val="20"/>
              </w:rPr>
              <w:t>(after CRL&gt;84mm and up to 22-24 weeks, for EDC estimation only)</w:t>
            </w:r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31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MUMC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Other: SOGC recommendation Feb 2014</w:t>
            </w:r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6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NYGH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Multiparameter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equation   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283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>RR Imaging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Multiparameter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equation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13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Port Perry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>BPD is no longer used to calculate EFW (as per  2019 SOON consensus meeting)</w:t>
            </w:r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15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(Fetal Unit)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Multiparameter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equation   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916A90">
        <w:trPr>
          <w:trHeight w:val="36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CA"/>
              </w:rPr>
              <w:t>Credit Valley</w:t>
            </w:r>
            <w:r w:rsidRPr="00916A90">
              <w:rPr>
                <w:lang w:val="en-US"/>
              </w:rPr>
              <w:t xml:space="preserve"> 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Simple average</w:t>
            </w:r>
            <w:r w:rsidRPr="00916A90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BDP+HC+AC+FL</w:t>
            </w:r>
            <w:r w:rsidRPr="00916A90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16A90" w:rsidRPr="00893FC0" w:rsidRDefault="00916A90" w:rsidP="00916A90">
      <w:pPr>
        <w:rPr>
          <w:b/>
          <w:bCs/>
          <w:u w:val="single"/>
          <w:lang w:val="en-US"/>
        </w:rPr>
      </w:pPr>
    </w:p>
    <w:p w:rsidR="00916A90" w:rsidRDefault="004027CA" w:rsidP="00B3591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TABLE </w:t>
      </w:r>
      <w:r w:rsidR="00B3591A">
        <w:rPr>
          <w:b/>
          <w:bCs/>
          <w:u w:val="single"/>
          <w:lang w:val="en-US"/>
        </w:rPr>
        <w:t>2.3</w:t>
      </w:r>
      <w:r w:rsidR="00916A90">
        <w:rPr>
          <w:b/>
          <w:bCs/>
          <w:u w:val="single"/>
          <w:lang w:val="en-US"/>
        </w:rPr>
        <w:t xml:space="preserve">: </w:t>
      </w:r>
      <w:r w:rsidR="00916A90" w:rsidRPr="00AE292D">
        <w:rPr>
          <w:b/>
          <w:bCs/>
          <w:u w:val="single"/>
          <w:lang w:val="en-US"/>
        </w:rPr>
        <w:t xml:space="preserve">Variation in </w:t>
      </w:r>
      <w:r w:rsidR="00916A90">
        <w:rPr>
          <w:b/>
          <w:bCs/>
          <w:u w:val="single"/>
          <w:lang w:val="en-US"/>
        </w:rPr>
        <w:t xml:space="preserve">charts used to determine growth percentiles of fetal biometry </w:t>
      </w:r>
      <w:r w:rsidR="00916A90" w:rsidRPr="00AE292D">
        <w:rPr>
          <w:b/>
          <w:bCs/>
          <w:u w:val="single"/>
          <w:lang w:val="en-US"/>
        </w:rPr>
        <w:t>in SOON</w:t>
      </w:r>
    </w:p>
    <w:p w:rsidR="00916A90" w:rsidRDefault="00916A90" w:rsidP="00916A90">
      <w:pPr>
        <w:rPr>
          <w:b/>
          <w:bCs/>
          <w:u w:val="single"/>
          <w:lang w:val="en-US"/>
        </w:rPr>
      </w:pPr>
    </w:p>
    <w:tbl>
      <w:tblPr>
        <w:tblW w:w="8006" w:type="dxa"/>
        <w:tblCellMar>
          <w:left w:w="0" w:type="dxa"/>
          <w:right w:w="0" w:type="dxa"/>
        </w:tblCellMar>
        <w:tblLook w:val="04A0"/>
      </w:tblPr>
      <w:tblGrid>
        <w:gridCol w:w="2662"/>
        <w:gridCol w:w="1336"/>
        <w:gridCol w:w="1336"/>
        <w:gridCol w:w="1336"/>
        <w:gridCol w:w="1336"/>
      </w:tblGrid>
      <w:tr w:rsidR="00916A90" w:rsidRPr="00916A90" w:rsidTr="00B3591A">
        <w:trPr>
          <w:trHeight w:val="103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 w:rsidRPr="00916A90">
              <w:rPr>
                <w:b/>
                <w:bCs/>
                <w:u w:val="single"/>
                <w:lang w:val="en-CA"/>
              </w:rPr>
              <w:t>Center</w:t>
            </w:r>
            <w:r w:rsidRPr="00916A90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BPD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HC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AC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FL</w:t>
            </w:r>
          </w:p>
        </w:tc>
      </w:tr>
      <w:tr w:rsidR="00916A90" w:rsidRPr="00916A90" w:rsidTr="00B3591A">
        <w:trPr>
          <w:trHeight w:val="13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Sunnybrook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/84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/84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/84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265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(CEOU)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211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St Jose Hospital (Toronto)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33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lastRenderedPageBreak/>
              <w:t xml:space="preserve">SMH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229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True North Imaging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265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>St Joseph’s (Hamilton)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31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MUMC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6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NYGH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283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>RR Imaging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2D2DB9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2D2DB9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Jeanty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84</w:t>
            </w:r>
            <w:r w:rsidRPr="00916A90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13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Port Perry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15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(Fetal Unit)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6A90">
              <w:rPr>
                <w:rFonts w:ascii="Calibri" w:eastAsia="Calibri" w:hAnsi="Calibri" w:cs="Arial"/>
                <w:b/>
                <w:bCs/>
                <w:color w:val="0099FF"/>
                <w:kern w:val="24"/>
                <w:sz w:val="20"/>
                <w:szCs w:val="20"/>
                <w:lang w:val="en-CA"/>
              </w:rPr>
              <w:t>Chitty 94</w:t>
            </w:r>
            <w:r w:rsidRPr="00916A90">
              <w:rPr>
                <w:rFonts w:ascii="Calibri" w:eastAsia="Calibri" w:hAnsi="Calibri" w:cs="Arial"/>
                <w:b/>
                <w:bCs/>
                <w:color w:val="0099F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>Verburg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 xml:space="preserve"> 08</w:t>
            </w:r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>Verburg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 xml:space="preserve"> 08</w:t>
            </w:r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>Verburg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  <w:lang w:val="en-CA"/>
              </w:rPr>
              <w:t xml:space="preserve"> 08</w:t>
            </w:r>
            <w:r w:rsidRPr="00916A90">
              <w:rPr>
                <w:rFonts w:ascii="Calibri" w:eastAsia="Calibri" w:hAnsi="Calibri" w:cs="Arial"/>
                <w:b/>
                <w:bCs/>
                <w:color w:val="7878DE"/>
                <w:kern w:val="24"/>
                <w:sz w:val="20"/>
                <w:szCs w:val="20"/>
              </w:rPr>
              <w:t xml:space="preserve"> </w:t>
            </w:r>
          </w:p>
        </w:tc>
      </w:tr>
      <w:tr w:rsidR="00916A90" w:rsidRPr="00916A90" w:rsidTr="00B3591A">
        <w:trPr>
          <w:trHeight w:val="3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lang w:val="en-US"/>
              </w:rPr>
            </w:pPr>
            <w:r w:rsidRPr="00916A90">
              <w:rPr>
                <w:lang w:val="en-CA"/>
              </w:rPr>
              <w:t>Credit Valley</w:t>
            </w:r>
            <w:r w:rsidRPr="00916A90">
              <w:rPr>
                <w:lang w:val="en-US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A90" w:rsidRPr="00916A90" w:rsidRDefault="00916A90" w:rsidP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Hadlock</w:t>
            </w:r>
            <w:proofErr w:type="spellEnd"/>
            <w:r w:rsidRPr="00916A90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 xml:space="preserve"> 82</w:t>
            </w:r>
            <w:r w:rsidRPr="00916A90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16A90" w:rsidRPr="00893FC0" w:rsidRDefault="00916A90" w:rsidP="00916A90">
      <w:pPr>
        <w:rPr>
          <w:b/>
          <w:bCs/>
          <w:u w:val="single"/>
          <w:lang w:val="en-US"/>
        </w:rPr>
      </w:pPr>
    </w:p>
    <w:p w:rsidR="00916A90" w:rsidRDefault="004027CA" w:rsidP="00B3591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TABLE </w:t>
      </w:r>
      <w:r w:rsidR="00B3591A">
        <w:rPr>
          <w:b/>
          <w:bCs/>
          <w:u w:val="single"/>
          <w:lang w:val="en-US"/>
        </w:rPr>
        <w:t>2.4</w:t>
      </w:r>
      <w:r w:rsidR="00916A90">
        <w:rPr>
          <w:b/>
          <w:bCs/>
          <w:u w:val="single"/>
          <w:lang w:val="en-US"/>
        </w:rPr>
        <w:t xml:space="preserve">: </w:t>
      </w:r>
      <w:r w:rsidR="00916A90" w:rsidRPr="00AE292D">
        <w:rPr>
          <w:b/>
          <w:bCs/>
          <w:u w:val="single"/>
          <w:lang w:val="en-US"/>
        </w:rPr>
        <w:t xml:space="preserve">Variation in </w:t>
      </w:r>
      <w:r w:rsidR="00916A90">
        <w:rPr>
          <w:b/>
          <w:bCs/>
          <w:u w:val="single"/>
          <w:lang w:val="en-US"/>
        </w:rPr>
        <w:t xml:space="preserve">how </w:t>
      </w:r>
      <w:r w:rsidR="00916A90" w:rsidRPr="00916A90">
        <w:rPr>
          <w:b/>
          <w:bCs/>
          <w:u w:val="single"/>
          <w:lang w:val="en-US"/>
        </w:rPr>
        <w:t xml:space="preserve">biometric indices </w:t>
      </w:r>
      <w:r w:rsidR="00916A90">
        <w:rPr>
          <w:b/>
          <w:bCs/>
          <w:u w:val="single"/>
          <w:lang w:val="en-US"/>
        </w:rPr>
        <w:t xml:space="preserve">are </w:t>
      </w:r>
      <w:r w:rsidR="00916A90" w:rsidRPr="00916A90">
        <w:rPr>
          <w:b/>
          <w:bCs/>
          <w:u w:val="single"/>
          <w:lang w:val="en-US"/>
        </w:rPr>
        <w:t xml:space="preserve">expressed </w:t>
      </w:r>
      <w:r w:rsidR="00916A90">
        <w:rPr>
          <w:b/>
          <w:bCs/>
          <w:u w:val="single"/>
          <w:lang w:val="en-US"/>
        </w:rPr>
        <w:t>the ultrasound reports in</w:t>
      </w:r>
      <w:r w:rsidR="00916A90" w:rsidRPr="00AE292D">
        <w:rPr>
          <w:b/>
          <w:bCs/>
          <w:u w:val="single"/>
          <w:lang w:val="en-US"/>
        </w:rPr>
        <w:t xml:space="preserve"> SOON</w:t>
      </w:r>
      <w:r w:rsidR="00916A90">
        <w:rPr>
          <w:b/>
          <w:bCs/>
          <w:u w:val="single"/>
          <w:lang w:val="en-US"/>
        </w:rPr>
        <w:t xml:space="preserve"> </w:t>
      </w:r>
    </w:p>
    <w:p w:rsidR="00916A90" w:rsidRDefault="00916A90" w:rsidP="00916A90">
      <w:pPr>
        <w:rPr>
          <w:b/>
          <w:bCs/>
          <w:u w:val="single"/>
          <w:lang w:val="en-US"/>
        </w:rPr>
      </w:pPr>
    </w:p>
    <w:tbl>
      <w:tblPr>
        <w:tblW w:w="7313" w:type="dxa"/>
        <w:tblCellMar>
          <w:left w:w="0" w:type="dxa"/>
          <w:right w:w="0" w:type="dxa"/>
        </w:tblCellMar>
        <w:tblLook w:val="04A0"/>
      </w:tblPr>
      <w:tblGrid>
        <w:gridCol w:w="2621"/>
        <w:gridCol w:w="4692"/>
      </w:tblGrid>
      <w:tr w:rsidR="00916A90" w:rsidRPr="00916A90" w:rsidTr="00B3591A">
        <w:trPr>
          <w:trHeight w:val="103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916A90" w:rsidRP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 w:rsidRPr="00916A90">
              <w:rPr>
                <w:b/>
                <w:bCs/>
                <w:u w:val="single"/>
                <w:lang w:val="en-CA"/>
              </w:rPr>
              <w:t>Center</w:t>
            </w:r>
            <w:r w:rsidRPr="00916A90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6A90" w:rsidRDefault="00916A90" w:rsidP="00B3591A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Approach to determine AUA</w:t>
            </w:r>
          </w:p>
        </w:tc>
      </w:tr>
      <w:tr w:rsidR="00B3591A" w:rsidRPr="00916A90" w:rsidTr="00B3591A">
        <w:trPr>
          <w:trHeight w:val="13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Sunnybrook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(+</w:t>
            </w: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when abnormal)</w:t>
            </w:r>
            <w:r w:rsidRPr="00B3591A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26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(CEOU)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211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St Jose Hospital (Toronto)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eastAsia="Calibri"/>
                <w:b/>
                <w:bCs/>
                <w:color w:val="FF330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33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SMH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+ </w:t>
            </w: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229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True North Imaging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 (+</w:t>
            </w: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ascii="Calibri" w:eastAsia="Calibri" w:hAnsi="Calibri" w:cs="Arial"/>
                <w:color w:val="000000"/>
                <w:kern w:val="24"/>
                <w:sz w:val="20"/>
                <w:szCs w:val="20"/>
              </w:rPr>
              <w:t xml:space="preserve"> when abnormal)</w:t>
            </w:r>
            <w:r w:rsidRPr="00B3591A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265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>St Joseph’s (Hamilton)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(a) </w:t>
            </w:r>
            <w:proofErr w:type="spellStart"/>
            <w:r w:rsidRPr="00B3591A">
              <w:rPr>
                <w:rFonts w:ascii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after 22 weeks and dates and EDC confirmed</w:t>
            </w:r>
            <w:r w:rsidRPr="00B3591A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(b) </w:t>
            </w:r>
            <w:r w:rsidRPr="00B3591A">
              <w:rPr>
                <w:rFonts w:ascii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 prior to 20 weeks</w:t>
            </w:r>
            <w:r w:rsidRPr="00B3591A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31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MUMC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6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NYGH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+ </w:t>
            </w: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283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>RR Imaging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3300"/>
                <w:kern w:val="24"/>
                <w:sz w:val="20"/>
                <w:szCs w:val="20"/>
              </w:rPr>
              <w:t>Weeks</w:t>
            </w:r>
            <w:r w:rsidRPr="00B3591A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+ </w:t>
            </w: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eastAsia="Calibri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130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Port Perry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>Weeks</w:t>
            </w:r>
            <w:r w:rsidRPr="00B3591A">
              <w:rPr>
                <w:rFonts w:eastAsia="Calibri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  <w:tr w:rsidR="00B3591A" w:rsidRPr="00916A90" w:rsidTr="00B3591A">
        <w:trPr>
          <w:trHeight w:val="15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US"/>
              </w:rPr>
              <w:t xml:space="preserve">MSH (Fetal Unit)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>Centile</w:t>
            </w:r>
            <w:proofErr w:type="spellEnd"/>
            <w:r w:rsidRPr="00B3591A">
              <w:rPr>
                <w:rFonts w:ascii="Calibri" w:eastAsia="Calibri" w:hAnsi="Calibri" w:cs="Arial"/>
                <w:b/>
                <w:bCs/>
                <w:color w:val="00B050"/>
                <w:kern w:val="24"/>
                <w:sz w:val="20"/>
                <w:szCs w:val="20"/>
              </w:rPr>
              <w:t xml:space="preserve"> </w:t>
            </w:r>
            <w:r w:rsidRPr="00B3591A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(weeks for T1) </w:t>
            </w:r>
          </w:p>
        </w:tc>
      </w:tr>
      <w:tr w:rsidR="00B3591A" w:rsidRPr="00916A90" w:rsidTr="00B3591A">
        <w:trPr>
          <w:trHeight w:val="36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0" w:type="dxa"/>
              <w:bottom w:w="0" w:type="dxa"/>
              <w:right w:w="20" w:type="dxa"/>
            </w:tcMar>
            <w:hideMark/>
          </w:tcPr>
          <w:p w:rsidR="00B3591A" w:rsidRPr="00916A90" w:rsidRDefault="00B3591A" w:rsidP="00B3591A">
            <w:pPr>
              <w:rPr>
                <w:lang w:val="en-US"/>
              </w:rPr>
            </w:pPr>
            <w:r w:rsidRPr="00916A90">
              <w:rPr>
                <w:lang w:val="en-CA"/>
              </w:rPr>
              <w:t>Credit Valley</w:t>
            </w:r>
            <w:r w:rsidRPr="00916A90">
              <w:rPr>
                <w:lang w:val="en-US"/>
              </w:rPr>
              <w:t xml:space="preserve"> 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91A" w:rsidRPr="00B3591A" w:rsidRDefault="00B3591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3591A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  <w:lang w:val="en-CA"/>
              </w:rPr>
              <w:t>Weeks</w:t>
            </w:r>
            <w:r w:rsidRPr="00B3591A">
              <w:rPr>
                <w:rFonts w:ascii="Calibri" w:eastAsia="Calibri" w:hAnsi="Calibri" w:cs="Arial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16A90" w:rsidRPr="00893FC0" w:rsidRDefault="00916A90" w:rsidP="00916A90">
      <w:pPr>
        <w:rPr>
          <w:b/>
          <w:bCs/>
          <w:u w:val="single"/>
          <w:lang w:val="en-US"/>
        </w:rPr>
      </w:pPr>
    </w:p>
    <w:p w:rsidR="00916A90" w:rsidRDefault="00916A90" w:rsidP="00C76070">
      <w:pPr>
        <w:rPr>
          <w:b/>
          <w:bCs/>
          <w:u w:val="single"/>
          <w:lang w:val="en-US"/>
        </w:rPr>
      </w:pPr>
    </w:p>
    <w:p w:rsidR="004027CA" w:rsidRDefault="004027CA" w:rsidP="00C76070">
      <w:pPr>
        <w:rPr>
          <w:b/>
          <w:bCs/>
          <w:u w:val="single"/>
          <w:lang w:val="en-US"/>
        </w:rPr>
      </w:pPr>
    </w:p>
    <w:p w:rsidR="004027CA" w:rsidRDefault="004027CA" w:rsidP="00C76070">
      <w:pPr>
        <w:rPr>
          <w:b/>
          <w:bCs/>
          <w:u w:val="single"/>
          <w:lang w:val="en-US"/>
        </w:rPr>
        <w:sectPr w:rsidR="004027CA" w:rsidSect="00AE292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027CA" w:rsidRDefault="004027CA" w:rsidP="00C7607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TABLE 3: </w:t>
      </w:r>
      <w:r w:rsidRPr="004027CA">
        <w:rPr>
          <w:b/>
          <w:bCs/>
          <w:u w:val="single"/>
          <w:lang w:val="en-US"/>
        </w:rPr>
        <w:t>Mean and SDs of head perimeter as a function of gestational age</w:t>
      </w:r>
      <w:r>
        <w:rPr>
          <w:b/>
          <w:bCs/>
          <w:u w:val="single"/>
          <w:lang w:val="en-US"/>
        </w:rPr>
        <w:t xml:space="preserve"> – </w:t>
      </w:r>
      <w:proofErr w:type="spellStart"/>
      <w:r w:rsidRPr="004027CA">
        <w:rPr>
          <w:b/>
          <w:bCs/>
          <w:u w:val="single"/>
          <w:lang w:val="en-US"/>
        </w:rPr>
        <w:t>Chervenak</w:t>
      </w:r>
      <w:proofErr w:type="spellEnd"/>
      <w:r>
        <w:rPr>
          <w:b/>
          <w:bCs/>
          <w:u w:val="single"/>
          <w:lang w:val="en-US"/>
        </w:rPr>
        <w:t xml:space="preserve"> et al, AJOG 1984, </w:t>
      </w:r>
      <w:proofErr w:type="spellStart"/>
      <w:proofErr w:type="gramStart"/>
      <w:r>
        <w:rPr>
          <w:b/>
          <w:bCs/>
          <w:u w:val="single"/>
          <w:lang w:val="en-US"/>
        </w:rPr>
        <w:t>Vol</w:t>
      </w:r>
      <w:proofErr w:type="spellEnd"/>
      <w:proofErr w:type="gramEnd"/>
      <w:r>
        <w:rPr>
          <w:b/>
          <w:bCs/>
          <w:u w:val="single"/>
          <w:lang w:val="en-US"/>
        </w:rPr>
        <w:t xml:space="preserve"> 9, 5:512-517</w:t>
      </w:r>
    </w:p>
    <w:p w:rsidR="004027CA" w:rsidRDefault="004027CA" w:rsidP="00C76070">
      <w:pPr>
        <w:rPr>
          <w:b/>
          <w:bCs/>
          <w:u w:val="single"/>
          <w:lang w:val="en-US"/>
        </w:rPr>
      </w:pPr>
    </w:p>
    <w:tbl>
      <w:tblPr>
        <w:tblW w:w="8640" w:type="dxa"/>
        <w:tblInd w:w="9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027CA" w:rsidRPr="004027CA" w:rsidTr="004027C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Week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+2SD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+1SD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Mean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-1SD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-2SD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-3SD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-4SD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027CA" w:rsidRPr="004027CA" w:rsidRDefault="004027CA" w:rsidP="004027C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-5SD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101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113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125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136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147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158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169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179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189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198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207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216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224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232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239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245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251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257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262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266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270</w:t>
            </w:r>
          </w:p>
        </w:tc>
      </w:tr>
      <w:tr w:rsidR="004027CA" w:rsidRPr="004027CA" w:rsidTr="004027CA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272</w:t>
            </w:r>
          </w:p>
        </w:tc>
      </w:tr>
      <w:tr w:rsidR="004027CA" w:rsidRPr="004027CA" w:rsidTr="004027C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348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 w:eastAsia="en-US" w:bidi="he-IL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7CA" w:rsidRPr="004027CA" w:rsidRDefault="004027CA" w:rsidP="004027C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</w:pPr>
            <w:r w:rsidRPr="004027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 w:bidi="he-IL"/>
              </w:rPr>
              <w:t>275</w:t>
            </w:r>
          </w:p>
        </w:tc>
      </w:tr>
    </w:tbl>
    <w:p w:rsidR="004027CA" w:rsidRPr="00893FC0" w:rsidRDefault="004027CA" w:rsidP="00C76070">
      <w:pPr>
        <w:rPr>
          <w:b/>
          <w:bCs/>
          <w:u w:val="single"/>
          <w:lang w:val="en-US"/>
        </w:rPr>
      </w:pPr>
    </w:p>
    <w:sectPr w:rsidR="004027CA" w:rsidRPr="00893FC0" w:rsidSect="00AE2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A1" w:rsidRDefault="00E91EA1" w:rsidP="00FF6AE0">
      <w:r>
        <w:separator/>
      </w:r>
    </w:p>
  </w:endnote>
  <w:endnote w:type="continuationSeparator" w:id="0">
    <w:p w:rsidR="00E91EA1" w:rsidRDefault="00E91EA1" w:rsidP="00FF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A1" w:rsidRDefault="00E91EA1" w:rsidP="00FF6AE0">
      <w:r>
        <w:separator/>
      </w:r>
    </w:p>
  </w:footnote>
  <w:footnote w:type="continuationSeparator" w:id="0">
    <w:p w:rsidR="00E91EA1" w:rsidRDefault="00E91EA1" w:rsidP="00FF6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38" w:rsidRDefault="00C53B38">
    <w:pPr>
      <w:pStyle w:val="Header"/>
      <w:rPr>
        <w:lang w:val="en-CA"/>
      </w:rPr>
    </w:pPr>
    <w:r w:rsidRPr="00FF6AE0">
      <w:rPr>
        <w:lang w:val="en-CA"/>
      </w:rPr>
      <w:t>SOON Consensus Working Group on Fetal Growth</w:t>
    </w:r>
  </w:p>
  <w:p w:rsidR="00C53B38" w:rsidRPr="00FF6AE0" w:rsidRDefault="00C53B38" w:rsidP="00E54D7E">
    <w:pPr>
      <w:pStyle w:val="Header"/>
      <w:rPr>
        <w:lang w:val="en-CA"/>
      </w:rPr>
    </w:pPr>
    <w:r>
      <w:rPr>
        <w:lang w:val="en-CA"/>
      </w:rPr>
      <w:t>Summary of meeting #2, Nov-12</w:t>
    </w:r>
    <w:r w:rsidRPr="00E54D7E">
      <w:rPr>
        <w:vertAlign w:val="superscript"/>
        <w:lang w:val="en-CA"/>
      </w:rPr>
      <w:t>th</w:t>
    </w:r>
    <w:r>
      <w:rPr>
        <w:lang w:val="en-CA"/>
      </w:rPr>
      <w:t>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5E6"/>
    <w:multiLevelType w:val="hybridMultilevel"/>
    <w:tmpl w:val="E05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7B2"/>
    <w:multiLevelType w:val="hybridMultilevel"/>
    <w:tmpl w:val="BF98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AFA"/>
    <w:multiLevelType w:val="hybridMultilevel"/>
    <w:tmpl w:val="8AB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1B9D"/>
    <w:multiLevelType w:val="hybridMultilevel"/>
    <w:tmpl w:val="9F262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B435C"/>
    <w:multiLevelType w:val="hybridMultilevel"/>
    <w:tmpl w:val="9016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A27"/>
    <w:multiLevelType w:val="hybridMultilevel"/>
    <w:tmpl w:val="ED649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9D6819"/>
    <w:multiLevelType w:val="hybridMultilevel"/>
    <w:tmpl w:val="BC5A7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57577"/>
    <w:multiLevelType w:val="hybridMultilevel"/>
    <w:tmpl w:val="5DCC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42EB4"/>
    <w:multiLevelType w:val="hybridMultilevel"/>
    <w:tmpl w:val="BD24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24EC"/>
    <w:multiLevelType w:val="hybridMultilevel"/>
    <w:tmpl w:val="41DE5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DIzMDY3MjM3NjIxNjZW0lEKTi0uzszPAykwqwUAXUQM2SwAAAA="/>
  </w:docVars>
  <w:rsids>
    <w:rsidRoot w:val="00C76070"/>
    <w:rsid w:val="0001597C"/>
    <w:rsid w:val="00017E00"/>
    <w:rsid w:val="000424A6"/>
    <w:rsid w:val="00044C44"/>
    <w:rsid w:val="000513CE"/>
    <w:rsid w:val="000A2552"/>
    <w:rsid w:val="000B49AB"/>
    <w:rsid w:val="000B7E02"/>
    <w:rsid w:val="00103814"/>
    <w:rsid w:val="0011535A"/>
    <w:rsid w:val="001667D3"/>
    <w:rsid w:val="00184D05"/>
    <w:rsid w:val="00196660"/>
    <w:rsid w:val="001A694E"/>
    <w:rsid w:val="001B2B2C"/>
    <w:rsid w:val="001F7675"/>
    <w:rsid w:val="0020775F"/>
    <w:rsid w:val="0024606E"/>
    <w:rsid w:val="0026308E"/>
    <w:rsid w:val="00276576"/>
    <w:rsid w:val="002A5EB3"/>
    <w:rsid w:val="002C20DD"/>
    <w:rsid w:val="002C4D3D"/>
    <w:rsid w:val="00313482"/>
    <w:rsid w:val="00322B08"/>
    <w:rsid w:val="003666A2"/>
    <w:rsid w:val="00377B4A"/>
    <w:rsid w:val="003B13CF"/>
    <w:rsid w:val="003D2206"/>
    <w:rsid w:val="003F078D"/>
    <w:rsid w:val="003F5A83"/>
    <w:rsid w:val="004027CA"/>
    <w:rsid w:val="00461D88"/>
    <w:rsid w:val="00472BA6"/>
    <w:rsid w:val="004A4E8B"/>
    <w:rsid w:val="004B26C7"/>
    <w:rsid w:val="004B3CF8"/>
    <w:rsid w:val="004E7738"/>
    <w:rsid w:val="0051546A"/>
    <w:rsid w:val="00540836"/>
    <w:rsid w:val="00591E4E"/>
    <w:rsid w:val="005A7F50"/>
    <w:rsid w:val="005D21BF"/>
    <w:rsid w:val="005F2C40"/>
    <w:rsid w:val="00637225"/>
    <w:rsid w:val="00657B7F"/>
    <w:rsid w:val="00785AFE"/>
    <w:rsid w:val="007919A9"/>
    <w:rsid w:val="00795B94"/>
    <w:rsid w:val="007C4D95"/>
    <w:rsid w:val="007C5CD8"/>
    <w:rsid w:val="00831A60"/>
    <w:rsid w:val="00853AB3"/>
    <w:rsid w:val="00872F68"/>
    <w:rsid w:val="00893FC0"/>
    <w:rsid w:val="008F405B"/>
    <w:rsid w:val="00916A90"/>
    <w:rsid w:val="0092029A"/>
    <w:rsid w:val="00922350"/>
    <w:rsid w:val="00950A50"/>
    <w:rsid w:val="009704D6"/>
    <w:rsid w:val="009A533A"/>
    <w:rsid w:val="009B4367"/>
    <w:rsid w:val="00A041A2"/>
    <w:rsid w:val="00A67CF3"/>
    <w:rsid w:val="00AE292D"/>
    <w:rsid w:val="00AF5589"/>
    <w:rsid w:val="00B2678D"/>
    <w:rsid w:val="00B3591A"/>
    <w:rsid w:val="00B47DF0"/>
    <w:rsid w:val="00B550D8"/>
    <w:rsid w:val="00BA6448"/>
    <w:rsid w:val="00BB31D1"/>
    <w:rsid w:val="00BC2F98"/>
    <w:rsid w:val="00BF7D6D"/>
    <w:rsid w:val="00C12315"/>
    <w:rsid w:val="00C35992"/>
    <w:rsid w:val="00C53B38"/>
    <w:rsid w:val="00C76070"/>
    <w:rsid w:val="00CC4EC9"/>
    <w:rsid w:val="00CD562D"/>
    <w:rsid w:val="00CE593C"/>
    <w:rsid w:val="00D130DA"/>
    <w:rsid w:val="00D13AC9"/>
    <w:rsid w:val="00D351B1"/>
    <w:rsid w:val="00D951B4"/>
    <w:rsid w:val="00DB7689"/>
    <w:rsid w:val="00E024CA"/>
    <w:rsid w:val="00E12128"/>
    <w:rsid w:val="00E54D7E"/>
    <w:rsid w:val="00E91EA1"/>
    <w:rsid w:val="00EA246E"/>
    <w:rsid w:val="00F3179C"/>
    <w:rsid w:val="00F41DE9"/>
    <w:rsid w:val="00F62942"/>
    <w:rsid w:val="00F63224"/>
    <w:rsid w:val="00F65AE8"/>
    <w:rsid w:val="00F85357"/>
    <w:rsid w:val="00FA0000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AE0"/>
  </w:style>
  <w:style w:type="paragraph" w:styleId="Footer">
    <w:name w:val="footer"/>
    <w:basedOn w:val="Normal"/>
    <w:link w:val="FooterChar"/>
    <w:uiPriority w:val="99"/>
    <w:semiHidden/>
    <w:unhideWhenUsed/>
    <w:rsid w:val="00FF6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AE0"/>
  </w:style>
  <w:style w:type="table" w:styleId="TableGrid">
    <w:name w:val="Table Grid"/>
    <w:basedOn w:val="TableNormal"/>
    <w:uiPriority w:val="39"/>
    <w:rsid w:val="00C35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B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6A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.barrett@sunnybrook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r.melamed@sunnybroo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Whitehead</dc:creator>
  <cp:lastModifiedBy>Melamed</cp:lastModifiedBy>
  <cp:revision>2</cp:revision>
  <cp:lastPrinted>2019-07-25T02:19:00Z</cp:lastPrinted>
  <dcterms:created xsi:type="dcterms:W3CDTF">2019-11-20T02:03:00Z</dcterms:created>
  <dcterms:modified xsi:type="dcterms:W3CDTF">2019-11-20T02:03:00Z</dcterms:modified>
</cp:coreProperties>
</file>